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C0" w:rsidRPr="002C6028" w:rsidRDefault="00CA60C0" w:rsidP="002C6028">
      <w:pPr>
        <w:spacing w:after="0" w:line="240" w:lineRule="auto"/>
        <w:jc w:val="center"/>
        <w:rPr>
          <w:rFonts w:ascii="Verdana" w:hAnsi="Verdana"/>
          <w:b/>
          <w:sz w:val="28"/>
          <w:szCs w:val="16"/>
        </w:rPr>
      </w:pPr>
      <w:r w:rsidRPr="002C6028">
        <w:rPr>
          <w:rFonts w:ascii="Verdana" w:hAnsi="Verdana"/>
          <w:b/>
          <w:sz w:val="28"/>
          <w:szCs w:val="16"/>
        </w:rPr>
        <w:t>ΕΝΤΥΠΟ 10</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1"/>
        <w:gridCol w:w="5796"/>
        <w:gridCol w:w="897"/>
        <w:gridCol w:w="709"/>
        <w:gridCol w:w="9"/>
        <w:gridCol w:w="2401"/>
      </w:tblGrid>
      <w:tr w:rsidR="008A29FA" w:rsidRPr="00686D1D" w:rsidTr="00686D1D">
        <w:trPr>
          <w:trHeight w:val="607"/>
        </w:trPr>
        <w:tc>
          <w:tcPr>
            <w:tcW w:w="15183" w:type="dxa"/>
            <w:gridSpan w:val="6"/>
            <w:shd w:val="clear" w:color="auto" w:fill="auto"/>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8A29FA" w:rsidRPr="00686D1D" w:rsidTr="00686D1D">
        <w:trPr>
          <w:trHeight w:val="106"/>
        </w:trPr>
        <w:tc>
          <w:tcPr>
            <w:tcW w:w="5371" w:type="dxa"/>
            <w:shd w:val="clear" w:color="auto" w:fill="auto"/>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shd w:val="clear" w:color="auto" w:fill="auto"/>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ΣΥΜΜΟΡΦΩΣΗ ΕΞΕΤΑΖΟΜΕΝΗΣ ΠΡΑΞΗΣ</w:t>
            </w:r>
          </w:p>
        </w:tc>
        <w:tc>
          <w:tcPr>
            <w:tcW w:w="2401" w:type="dxa"/>
            <w:shd w:val="clear" w:color="auto" w:fill="auto"/>
            <w:noWrap/>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ΠΑΡΑΤΗΡΗΣΕΙΣ</w:t>
            </w:r>
          </w:p>
        </w:tc>
      </w:tr>
      <w:tr w:rsidR="008A29FA" w:rsidRPr="00686D1D" w:rsidTr="00686D1D">
        <w:trPr>
          <w:trHeight w:val="768"/>
        </w:trPr>
        <w:tc>
          <w:tcPr>
            <w:tcW w:w="15183" w:type="dxa"/>
            <w:gridSpan w:val="6"/>
            <w:shd w:val="clear" w:color="000000" w:fill="F2F2F2"/>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 xml:space="preserve">1. Για τη διατήρηση της </w:t>
            </w:r>
            <w:r w:rsidRPr="00686D1D">
              <w:rPr>
                <w:rFonts w:ascii="Verdana" w:hAnsi="Verdana" w:cs="Tahoma"/>
                <w:b/>
                <w:bCs/>
                <w:color w:val="000000"/>
                <w:sz w:val="16"/>
                <w:szCs w:val="16"/>
                <w:u w:val="single"/>
              </w:rPr>
              <w:t>βιοποικιλότητας</w:t>
            </w:r>
            <w:r w:rsidRPr="00686D1D">
              <w:rPr>
                <w:rFonts w:ascii="Verdana" w:hAnsi="Verdana" w:cs="Tahoma"/>
                <w:b/>
                <w:bCs/>
                <w:color w:val="000000"/>
                <w:sz w:val="16"/>
                <w:szCs w:val="16"/>
              </w:rPr>
              <w:t xml:space="preserve">  και την προστασία  των σημαντικών φυσικών </w:t>
            </w:r>
            <w:proofErr w:type="spellStart"/>
            <w:r w:rsidRPr="00686D1D">
              <w:rPr>
                <w:rFonts w:ascii="Verdana" w:hAnsi="Verdana" w:cs="Tahoma"/>
                <w:b/>
                <w:bCs/>
                <w:color w:val="000000"/>
                <w:sz w:val="16"/>
                <w:szCs w:val="16"/>
              </w:rPr>
              <w:t>οικοτόπων</w:t>
            </w:r>
            <w:proofErr w:type="spellEnd"/>
            <w:r w:rsidRPr="00686D1D">
              <w:rPr>
                <w:rFonts w:ascii="Verdana" w:hAnsi="Verdana" w:cs="Tahoma"/>
                <w:b/>
                <w:bCs/>
                <w:color w:val="000000"/>
                <w:sz w:val="16"/>
                <w:szCs w:val="16"/>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8A29FA" w:rsidRPr="00686D1D" w:rsidTr="004245AF">
        <w:trPr>
          <w:trHeight w:val="703"/>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1.1. Η διαδικασία αξιολόγησης και επιλογής προτάσεων  για ένταξη στο ΠΑΑ, που αφορούν </w:t>
            </w:r>
            <w:r w:rsidRPr="00686D1D">
              <w:rPr>
                <w:rFonts w:ascii="Verdana" w:hAnsi="Verdana" w:cs="Tahoma"/>
                <w:b/>
                <w:bCs/>
                <w:color w:val="000000"/>
                <w:sz w:val="16"/>
                <w:szCs w:val="16"/>
              </w:rPr>
              <w:t>σε έργα ή δράσεις εντός περιοχών του δικτύου Natura 2000,</w:t>
            </w:r>
            <w:r w:rsidRPr="00686D1D">
              <w:rPr>
                <w:rFonts w:ascii="Verdana" w:hAnsi="Verdana" w:cs="Tahoma"/>
                <w:color w:val="000000"/>
                <w:sz w:val="16"/>
                <w:szCs w:val="16"/>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686D1D">
              <w:rPr>
                <w:rFonts w:ascii="Verdana" w:hAnsi="Verdana" w:cs="Tahoma"/>
                <w:color w:val="000000"/>
                <w:sz w:val="16"/>
                <w:szCs w:val="16"/>
              </w:rPr>
              <w:t>οικοτόπων</w:t>
            </w:r>
            <w:proofErr w:type="spellEnd"/>
            <w:r w:rsidRPr="00686D1D">
              <w:rPr>
                <w:rFonts w:ascii="Verdana" w:hAnsi="Verdana" w:cs="Tahoma"/>
                <w:color w:val="000000"/>
                <w:sz w:val="16"/>
                <w:szCs w:val="16"/>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sz w:val="16"/>
                <w:szCs w:val="16"/>
              </w:rPr>
            </w:pPr>
            <w:r w:rsidRPr="00686D1D">
              <w:rPr>
                <w:rFonts w:ascii="Verdana" w:hAnsi="Verdana" w:cs="Tahoma"/>
                <w:sz w:val="16"/>
                <w:szCs w:val="16"/>
              </w:rPr>
              <w:t xml:space="preserve">Το προτεινόμενο έργο </w:t>
            </w:r>
            <w:proofErr w:type="spellStart"/>
            <w:r w:rsidRPr="00686D1D">
              <w:rPr>
                <w:rFonts w:ascii="Verdana" w:hAnsi="Verdana" w:cs="Tahoma"/>
                <w:sz w:val="16"/>
                <w:szCs w:val="16"/>
              </w:rPr>
              <w:t>χωροθετείται</w:t>
            </w:r>
            <w:proofErr w:type="spellEnd"/>
            <w:r w:rsidRPr="00686D1D">
              <w:rPr>
                <w:rFonts w:ascii="Verdana" w:hAnsi="Verdana" w:cs="Tahoma"/>
                <w:sz w:val="16"/>
                <w:szCs w:val="16"/>
              </w:rPr>
              <w:t xml:space="preserve"> εντός περιοχών του δικτύου Natura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686D1D">
              <w:rPr>
                <w:rFonts w:ascii="Verdana" w:hAnsi="Verdana" w:cs="Tahoma"/>
                <w:sz w:val="16"/>
                <w:szCs w:val="16"/>
              </w:rPr>
              <w:t>οικοτόπων</w:t>
            </w:r>
            <w:proofErr w:type="spellEnd"/>
            <w:r w:rsidRPr="00686D1D">
              <w:rPr>
                <w:rFonts w:ascii="Verdana" w:hAnsi="Verdana" w:cs="Tahoma"/>
                <w:sz w:val="16"/>
                <w:szCs w:val="16"/>
              </w:rPr>
              <w:t>, καθώς και τον έλεγχο της συμβατότητας με τις προβλέψεις των εγκεκριμένων σχεδίων διαχείρισης, όπου υφίστανται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10" w:type="dxa"/>
            <w:gridSpan w:val="2"/>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571"/>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692"/>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686D1D">
              <w:rPr>
                <w:rFonts w:ascii="Verdana" w:hAnsi="Verdana" w:cs="Tahoma"/>
                <w:b/>
                <w:bCs/>
                <w:color w:val="000000"/>
                <w:sz w:val="16"/>
                <w:szCs w:val="16"/>
              </w:rPr>
              <w:t>Εθνική Στρατηγική για τη Βιοποικιλότητα</w:t>
            </w:r>
            <w:r w:rsidRPr="00686D1D">
              <w:rPr>
                <w:rFonts w:ascii="Verdana" w:hAnsi="Verdana" w:cs="Tahoma"/>
                <w:color w:val="000000"/>
                <w:sz w:val="16"/>
                <w:szCs w:val="16"/>
              </w:rPr>
              <w:t xml:space="preserve"> (</w:t>
            </w:r>
            <w:proofErr w:type="spellStart"/>
            <w:r w:rsidRPr="00686D1D">
              <w:rPr>
                <w:rFonts w:ascii="Verdana" w:hAnsi="Verdana" w:cs="Tahoma"/>
                <w:color w:val="000000"/>
                <w:sz w:val="16"/>
                <w:szCs w:val="16"/>
              </w:rPr>
              <w:t>φ.ε.κ.</w:t>
            </w:r>
            <w:proofErr w:type="spellEnd"/>
            <w:r w:rsidRPr="00686D1D">
              <w:rPr>
                <w:rFonts w:ascii="Verdana" w:hAnsi="Verdana" w:cs="Tahoma"/>
                <w:color w:val="000000"/>
                <w:sz w:val="16"/>
                <w:szCs w:val="16"/>
              </w:rPr>
              <w:t xml:space="preserve"> Β΄ 2383/8.8.2014).</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και την σχετική Απόφαση Έγκρισης Περιβαλλοντικών του</w:t>
            </w:r>
            <w:r w:rsidRPr="00686D1D">
              <w:rPr>
                <w:rFonts w:ascii="Verdana" w:hAnsi="Verdana" w:cs="Tahoma"/>
                <w:color w:val="000000"/>
                <w:sz w:val="16"/>
                <w:szCs w:val="16"/>
              </w:rPr>
              <w:br/>
              <w:t>Όρων, είναι συμβατό με την Εθνική Στρατηγική για τη Βιοποικιλότητα (</w:t>
            </w:r>
            <w:proofErr w:type="spellStart"/>
            <w:r w:rsidRPr="00686D1D">
              <w:rPr>
                <w:rFonts w:ascii="Verdana" w:hAnsi="Verdana" w:cs="Tahoma"/>
                <w:color w:val="000000"/>
                <w:sz w:val="16"/>
                <w:szCs w:val="16"/>
              </w:rPr>
              <w:t>φ.ε.κ.</w:t>
            </w:r>
            <w:proofErr w:type="spellEnd"/>
            <w:r w:rsidRPr="00686D1D">
              <w:rPr>
                <w:rFonts w:ascii="Verdana" w:hAnsi="Verdana" w:cs="Tahoma"/>
                <w:color w:val="000000"/>
                <w:sz w:val="16"/>
                <w:szCs w:val="16"/>
              </w:rPr>
              <w:t xml:space="preserve"> Β΄ 2383/8.8.2014),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10" w:type="dxa"/>
            <w:gridSpan w:val="2"/>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837"/>
        </w:trPr>
        <w:tc>
          <w:tcPr>
            <w:tcW w:w="5371" w:type="dxa"/>
            <w:vMerge w:val="restart"/>
            <w:shd w:val="clear" w:color="auto" w:fill="auto"/>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1.3. Οι  </w:t>
            </w:r>
            <w:r w:rsidRPr="00686D1D">
              <w:rPr>
                <w:rFonts w:ascii="Verdana" w:hAnsi="Verdana" w:cs="Tahoma"/>
                <w:b/>
                <w:bCs/>
                <w:color w:val="000000"/>
                <w:sz w:val="16"/>
                <w:szCs w:val="16"/>
              </w:rPr>
              <w:t xml:space="preserve">επενδύσεις για δασοκομικές </w:t>
            </w:r>
            <w:r w:rsidRPr="00686D1D">
              <w:rPr>
                <w:rFonts w:ascii="Verdana" w:hAnsi="Verdana" w:cs="Tahoma"/>
                <w:color w:val="000000"/>
                <w:sz w:val="16"/>
                <w:szCs w:val="16"/>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sz w:val="16"/>
                <w:szCs w:val="16"/>
              </w:rPr>
            </w:pPr>
            <w:r w:rsidRPr="00686D1D">
              <w:rPr>
                <w:rFonts w:ascii="Verdana" w:hAnsi="Verdana" w:cs="Tahoma"/>
                <w:sz w:val="16"/>
                <w:szCs w:val="16"/>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686D1D">
              <w:rPr>
                <w:rFonts w:ascii="Verdana" w:hAnsi="Verdana" w:cs="Tahoma"/>
                <w:sz w:val="16"/>
                <w:szCs w:val="16"/>
              </w:rPr>
              <w:br/>
              <w:t>διασφαλίζει την ευρωστία των δασικών οικοσυστημάτων,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538"/>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96"/>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09"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10" w:type="dxa"/>
            <w:gridSpan w:val="2"/>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686D1D">
        <w:trPr>
          <w:trHeight w:val="1305"/>
        </w:trPr>
        <w:tc>
          <w:tcPr>
            <w:tcW w:w="15183" w:type="dxa"/>
            <w:gridSpan w:val="6"/>
            <w:shd w:val="clear" w:color="000000" w:fill="F2F2F2"/>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lastRenderedPageBreak/>
              <w:t>2. Για την</w:t>
            </w:r>
            <w:r w:rsidRPr="00686D1D">
              <w:rPr>
                <w:rFonts w:ascii="Verdana" w:hAnsi="Verdana" w:cs="Tahoma"/>
                <w:b/>
                <w:bCs/>
                <w:color w:val="000000"/>
                <w:sz w:val="16"/>
                <w:szCs w:val="16"/>
                <w:u w:val="single"/>
              </w:rPr>
              <w:t xml:space="preserve"> προστασία  των εδαφών και την αποφυγή απώλειας, ρύπανσης ή υποβάθμισής τους</w:t>
            </w:r>
            <w:r w:rsidRPr="00686D1D">
              <w:rPr>
                <w:rFonts w:ascii="Verdana" w:hAnsi="Verdana" w:cs="Tahoma"/>
                <w:b/>
                <w:bCs/>
                <w:color w:val="000000"/>
                <w:sz w:val="16"/>
                <w:szCs w:val="16"/>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2.1. Ενθάρρυνση προτάσεων για περιορισμό της </w:t>
            </w:r>
            <w:r w:rsidRPr="00686D1D">
              <w:rPr>
                <w:rFonts w:ascii="Verdana" w:hAnsi="Verdana" w:cs="Tahoma"/>
                <w:b/>
                <w:bCs/>
                <w:color w:val="000000"/>
                <w:sz w:val="16"/>
                <w:szCs w:val="16"/>
              </w:rPr>
              <w:t>διάβρωσης του εδάφους</w:t>
            </w:r>
            <w:r w:rsidRPr="00686D1D">
              <w:rPr>
                <w:rFonts w:ascii="Verdana" w:hAnsi="Verdana" w:cs="Tahoma"/>
                <w:color w:val="000000"/>
                <w:sz w:val="16"/>
                <w:szCs w:val="16"/>
              </w:rPr>
              <w:t xml:space="preserve"> και την </w:t>
            </w:r>
            <w:r w:rsidRPr="00686D1D">
              <w:rPr>
                <w:rFonts w:ascii="Verdana" w:hAnsi="Verdana" w:cs="Tahoma"/>
                <w:b/>
                <w:bCs/>
                <w:color w:val="000000"/>
                <w:sz w:val="16"/>
                <w:szCs w:val="16"/>
              </w:rPr>
              <w:t>αύξηση της οργανικής του ύλης</w:t>
            </w:r>
            <w:r w:rsidRPr="00686D1D">
              <w:rPr>
                <w:rFonts w:ascii="Verdana" w:hAnsi="Verdana" w:cs="Tahoma"/>
                <w:color w:val="000000"/>
                <w:sz w:val="16"/>
                <w:szCs w:val="16"/>
              </w:rPr>
              <w:t>.</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έργο/δράση, λαμβάνοντας υπόψη την εγκεκριμένη ΜΠΕ του και την σχετική Απόφαση Έγκρισης Περιβαλλοντικών του</w:t>
            </w:r>
            <w:r w:rsidRPr="00686D1D">
              <w:rPr>
                <w:rFonts w:ascii="Verdana" w:hAnsi="Verdana" w:cs="Tahoma"/>
                <w:color w:val="000000"/>
                <w:sz w:val="16"/>
                <w:szCs w:val="16"/>
              </w:rPr>
              <w:br/>
              <w:t>Όρων, περιορίζει τη διάβρωση του εδάφους και αυξάνει την οργανική του ύλη,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2.2. Ελαχιστοποίηση </w:t>
            </w:r>
            <w:r w:rsidRPr="00686D1D">
              <w:rPr>
                <w:rFonts w:ascii="Verdana" w:hAnsi="Verdana" w:cs="Tahoma"/>
                <w:b/>
                <w:bCs/>
                <w:color w:val="000000"/>
                <w:sz w:val="16"/>
                <w:szCs w:val="16"/>
              </w:rPr>
              <w:t>αλλοιώσεων στο εδαφικό ανάγλυφο</w:t>
            </w:r>
            <w:r w:rsidRPr="00686D1D">
              <w:rPr>
                <w:rFonts w:ascii="Verdana" w:hAnsi="Verdana" w:cs="Tahoma"/>
                <w:color w:val="000000"/>
                <w:sz w:val="16"/>
                <w:szCs w:val="16"/>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sz w:val="16"/>
                <w:szCs w:val="16"/>
              </w:rPr>
            </w:pPr>
            <w:r w:rsidRPr="00686D1D">
              <w:rPr>
                <w:rFonts w:ascii="Verdana" w:hAnsi="Verdana" w:cs="Tahoma"/>
                <w:sz w:val="16"/>
                <w:szCs w:val="16"/>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2.3. Εφαρμογή προγραμμάτων και δράσεων για τη </w:t>
            </w:r>
            <w:r w:rsidRPr="00686D1D">
              <w:rPr>
                <w:rFonts w:ascii="Verdana" w:hAnsi="Verdana" w:cs="Tahoma"/>
                <w:b/>
                <w:bCs/>
                <w:color w:val="000000"/>
                <w:sz w:val="16"/>
                <w:szCs w:val="16"/>
              </w:rPr>
              <w:t>μείωση των συγκεντρώσεων αζώτου και φωσφόρου στο έδαφος</w:t>
            </w:r>
            <w:r w:rsidRPr="00686D1D">
              <w:rPr>
                <w:rFonts w:ascii="Verdana" w:hAnsi="Verdana" w:cs="Tahoma"/>
                <w:color w:val="000000"/>
                <w:sz w:val="16"/>
                <w:szCs w:val="16"/>
              </w:rPr>
              <w:t>.</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979"/>
        </w:trPr>
        <w:tc>
          <w:tcPr>
            <w:tcW w:w="15183" w:type="dxa"/>
            <w:gridSpan w:val="6"/>
            <w:shd w:val="clear" w:color="000000" w:fill="F2F2F2"/>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 xml:space="preserve">3. Για την ορθολογική </w:t>
            </w:r>
            <w:r w:rsidRPr="00686D1D">
              <w:rPr>
                <w:rFonts w:ascii="Verdana" w:hAnsi="Verdana" w:cs="Tahoma"/>
                <w:b/>
                <w:bCs/>
                <w:color w:val="000000"/>
                <w:sz w:val="16"/>
                <w:szCs w:val="16"/>
                <w:u w:val="single"/>
              </w:rPr>
              <w:t>διαχείριση των υδάτινων πόρων και την εξοικονόμηση  νερού</w:t>
            </w:r>
            <w:r w:rsidRPr="00686D1D">
              <w:rPr>
                <w:rFonts w:ascii="Verdana" w:hAnsi="Verdana" w:cs="Tahoma"/>
                <w:b/>
                <w:bCs/>
                <w:color w:val="000000"/>
                <w:sz w:val="16"/>
                <w:szCs w:val="16"/>
              </w:rPr>
              <w:t xml:space="preserve"> θα</w:t>
            </w:r>
            <w:r w:rsidRPr="00686D1D">
              <w:rPr>
                <w:rFonts w:ascii="Verdana" w:hAnsi="Verdana" w:cs="Tahoma"/>
                <w:b/>
                <w:bCs/>
                <w:color w:val="000000"/>
                <w:sz w:val="16"/>
                <w:szCs w:val="16"/>
              </w:rPr>
              <w:br/>
              <w:t>πρέπει, μέσω του μηχανισμού διαχείρισης και υλοποίησης του ΠΑΑ, να ακολουθούνται οι παρακάτω κατευθύνσεις:</w:t>
            </w: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lastRenderedPageBreak/>
              <w:t xml:space="preserve">3.1. Ενθάρρυνση προτάσεων που περιλαμβάνουν  πρακτικές </w:t>
            </w:r>
            <w:r w:rsidRPr="00686D1D">
              <w:rPr>
                <w:rFonts w:ascii="Verdana" w:hAnsi="Verdana" w:cs="Tahoma"/>
                <w:b/>
                <w:bCs/>
                <w:color w:val="000000"/>
                <w:sz w:val="16"/>
                <w:szCs w:val="16"/>
              </w:rPr>
              <w:t>μείωσης κατανάλωσης νερού</w:t>
            </w:r>
            <w:r w:rsidRPr="00686D1D">
              <w:rPr>
                <w:rFonts w:ascii="Verdana" w:hAnsi="Verdana" w:cs="Tahoma"/>
                <w:color w:val="000000"/>
                <w:sz w:val="16"/>
                <w:szCs w:val="16"/>
              </w:rPr>
              <w:t xml:space="preserve"> από πρωτογενείς υδατικούς πόρους ή/και μείωσης των υγρών αποβλήτων.</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1002"/>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3.2. </w:t>
            </w:r>
            <w:r w:rsidRPr="00686D1D">
              <w:rPr>
                <w:rFonts w:ascii="Verdana" w:hAnsi="Verdana" w:cs="Tahoma"/>
                <w:b/>
                <w:bCs/>
                <w:color w:val="000000"/>
                <w:sz w:val="16"/>
                <w:szCs w:val="16"/>
              </w:rPr>
              <w:t>Εφαρμογή των βασικών και συμπληρωματικών  μέτρων  που καθορίστηκαν στο Σχέδιο Διαχείρισης  των Λεκανών Απορροής Ποταμών</w:t>
            </w:r>
            <w:r w:rsidRPr="00686D1D">
              <w:rPr>
                <w:rFonts w:ascii="Verdana" w:hAnsi="Verdana" w:cs="Tahoma"/>
                <w:color w:val="000000"/>
                <w:sz w:val="16"/>
                <w:szCs w:val="16"/>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686D1D">
              <w:rPr>
                <w:rFonts w:ascii="Verdana" w:hAnsi="Verdana" w:cs="Tahoma"/>
                <w:color w:val="000000"/>
                <w:sz w:val="16"/>
                <w:szCs w:val="16"/>
              </w:rPr>
              <w:t>φυτοπροστατευτικές</w:t>
            </w:r>
            <w:proofErr w:type="spellEnd"/>
            <w:r w:rsidRPr="00686D1D">
              <w:rPr>
                <w:rFonts w:ascii="Verdana" w:hAnsi="Verdana" w:cs="Tahoma"/>
                <w:color w:val="000000"/>
                <w:sz w:val="16"/>
                <w:szCs w:val="16"/>
              </w:rPr>
              <w:t xml:space="preserve"> ουσίες.</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686D1D">
              <w:rPr>
                <w:rFonts w:ascii="Verdana" w:hAnsi="Verdana" w:cs="Tahoma"/>
                <w:color w:val="000000"/>
                <w:sz w:val="16"/>
                <w:szCs w:val="16"/>
              </w:rPr>
              <w:t>φυτοπροστατευτικές</w:t>
            </w:r>
            <w:proofErr w:type="spellEnd"/>
            <w:r w:rsidRPr="00686D1D">
              <w:rPr>
                <w:rFonts w:ascii="Verdana" w:hAnsi="Verdana" w:cs="Tahoma"/>
                <w:color w:val="000000"/>
                <w:sz w:val="16"/>
                <w:szCs w:val="16"/>
              </w:rPr>
              <w:t xml:space="preserve"> ουσίες,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1002"/>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1002"/>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3.3. Έμφαση σε πρωτοβουλίες που ενισχύουν την  προσαρμογή της γεωργικής παραγωγής </w:t>
            </w:r>
            <w:r w:rsidRPr="00686D1D">
              <w:rPr>
                <w:rFonts w:ascii="Verdana" w:hAnsi="Verdana" w:cs="Tahoma"/>
                <w:b/>
                <w:bCs/>
                <w:color w:val="000000"/>
                <w:sz w:val="16"/>
                <w:szCs w:val="16"/>
              </w:rPr>
              <w:t>στην κλιματική αλλαγή.</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427"/>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453"/>
        </w:trPr>
        <w:tc>
          <w:tcPr>
            <w:tcW w:w="15183" w:type="dxa"/>
            <w:gridSpan w:val="6"/>
            <w:shd w:val="clear" w:color="000000" w:fill="F2F2F2"/>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 xml:space="preserve">4. Για την μείωση των </w:t>
            </w:r>
            <w:r w:rsidRPr="00686D1D">
              <w:rPr>
                <w:rFonts w:ascii="Verdana" w:hAnsi="Verdana" w:cs="Tahoma"/>
                <w:b/>
                <w:bCs/>
                <w:color w:val="000000"/>
                <w:sz w:val="16"/>
                <w:szCs w:val="16"/>
                <w:u w:val="single"/>
              </w:rPr>
              <w:t>αερίων ρύπων και των αερίων του θερμοκηπίου</w:t>
            </w:r>
            <w:r w:rsidRPr="00686D1D">
              <w:rPr>
                <w:rFonts w:ascii="Verdana" w:hAnsi="Verdana" w:cs="Tahoma"/>
                <w:b/>
                <w:bCs/>
                <w:color w:val="000000"/>
                <w:sz w:val="16"/>
                <w:szCs w:val="16"/>
              </w:rPr>
              <w:t>, θα πρέπει μέσω του</w:t>
            </w:r>
            <w:r w:rsidRPr="00686D1D">
              <w:rPr>
                <w:rFonts w:ascii="Verdana" w:hAnsi="Verdana" w:cs="Tahoma"/>
                <w:b/>
                <w:bCs/>
                <w:color w:val="000000"/>
                <w:sz w:val="16"/>
                <w:szCs w:val="16"/>
              </w:rPr>
              <w:br/>
              <w:t>μηχανισμού διαχείρισης και υλοποίησης του ΠΑΑ, να ακολουθούνται οι παρακάτω κατευθύνσεις:</w:t>
            </w: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4.1. Ενίσχυση των </w:t>
            </w:r>
            <w:r w:rsidRPr="00686D1D">
              <w:rPr>
                <w:rFonts w:ascii="Verdana" w:hAnsi="Verdana" w:cs="Tahoma"/>
                <w:b/>
                <w:bCs/>
                <w:color w:val="000000"/>
                <w:sz w:val="16"/>
                <w:szCs w:val="16"/>
              </w:rPr>
              <w:t>δασικών οικοσυστημάτων</w:t>
            </w:r>
            <w:r w:rsidRPr="00686D1D">
              <w:rPr>
                <w:rFonts w:ascii="Verdana" w:hAnsi="Verdana" w:cs="Tahoma"/>
                <w:color w:val="000000"/>
                <w:sz w:val="16"/>
                <w:szCs w:val="16"/>
              </w:rPr>
              <w:t>, με  αναδασώσεις και επέκταση της δασικής διαχείρισης, καθώς και προστασία τους από πυρκαγιές.</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4.2. Στα </w:t>
            </w:r>
            <w:r w:rsidRPr="00686D1D">
              <w:rPr>
                <w:rFonts w:ascii="Verdana" w:hAnsi="Verdana" w:cs="Tahoma"/>
                <w:b/>
                <w:bCs/>
                <w:color w:val="000000"/>
                <w:sz w:val="16"/>
                <w:szCs w:val="16"/>
              </w:rPr>
              <w:t>έργα διαχείρισης αποβλήτων</w:t>
            </w:r>
            <w:r w:rsidRPr="00686D1D">
              <w:rPr>
                <w:rFonts w:ascii="Verdana" w:hAnsi="Verdana" w:cs="Tahoma"/>
                <w:color w:val="000000"/>
                <w:sz w:val="16"/>
                <w:szCs w:val="16"/>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 xml:space="preserve">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w:t>
            </w:r>
            <w:r w:rsidR="00A10322" w:rsidRPr="00686D1D">
              <w:rPr>
                <w:rFonts w:ascii="Verdana" w:hAnsi="Verdana" w:cs="Tahoma"/>
                <w:color w:val="000000"/>
                <w:sz w:val="16"/>
                <w:szCs w:val="16"/>
              </w:rPr>
              <w:t>ελαχιστοποίηση</w:t>
            </w:r>
            <w:r w:rsidRPr="00686D1D">
              <w:rPr>
                <w:rFonts w:ascii="Verdana" w:hAnsi="Verdana" w:cs="Tahoma"/>
                <w:color w:val="000000"/>
                <w:sz w:val="16"/>
                <w:szCs w:val="16"/>
              </w:rPr>
              <w:t xml:space="preserve"> των εκπομπών αερίων του θερμοκηπίου,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553"/>
        </w:trPr>
        <w:tc>
          <w:tcPr>
            <w:tcW w:w="15183" w:type="dxa"/>
            <w:gridSpan w:val="6"/>
            <w:shd w:val="clear" w:color="000000" w:fill="F2F2F2"/>
            <w:vAlign w:val="center"/>
            <w:hideMark/>
          </w:tcPr>
          <w:p w:rsidR="008A29FA" w:rsidRPr="00686D1D" w:rsidRDefault="008A29FA" w:rsidP="00686D1D">
            <w:pPr>
              <w:spacing w:after="0" w:line="240" w:lineRule="auto"/>
              <w:jc w:val="center"/>
              <w:rPr>
                <w:rFonts w:ascii="Verdana" w:hAnsi="Verdana" w:cs="Tahoma"/>
                <w:b/>
                <w:bCs/>
                <w:color w:val="000000"/>
                <w:sz w:val="16"/>
                <w:szCs w:val="16"/>
              </w:rPr>
            </w:pPr>
            <w:r w:rsidRPr="00686D1D">
              <w:rPr>
                <w:rFonts w:ascii="Verdana" w:hAnsi="Verdana" w:cs="Tahoma"/>
                <w:b/>
                <w:bCs/>
                <w:color w:val="000000"/>
                <w:sz w:val="16"/>
                <w:szCs w:val="16"/>
              </w:rPr>
              <w:t xml:space="preserve">5. Για την </w:t>
            </w:r>
            <w:r w:rsidRPr="00686D1D">
              <w:rPr>
                <w:rFonts w:ascii="Verdana" w:hAnsi="Verdana" w:cs="Tahoma"/>
                <w:b/>
                <w:bCs/>
                <w:color w:val="000000"/>
                <w:sz w:val="16"/>
                <w:szCs w:val="16"/>
                <w:u w:val="single"/>
              </w:rPr>
              <w:t>προστασία  της  πολιτιστικής  κληρονομιάς</w:t>
            </w:r>
            <w:r w:rsidRPr="00686D1D">
              <w:rPr>
                <w:rFonts w:ascii="Verdana" w:hAnsi="Verdana" w:cs="Tahoma"/>
                <w:b/>
                <w:bCs/>
                <w:color w:val="000000"/>
                <w:sz w:val="16"/>
                <w:szCs w:val="16"/>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w:t>
            </w:r>
            <w:r w:rsidR="00473D13">
              <w:rPr>
                <w:rFonts w:ascii="Verdana" w:hAnsi="Verdana" w:cs="Tahoma"/>
                <w:b/>
                <w:bCs/>
                <w:color w:val="000000"/>
                <w:sz w:val="16"/>
                <w:szCs w:val="16"/>
              </w:rPr>
              <w:t>ς</w:t>
            </w: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bookmarkStart w:id="0" w:name="_GoBack" w:colFirst="3" w:colLast="3"/>
            <w:r w:rsidRPr="00686D1D">
              <w:rPr>
                <w:rFonts w:ascii="Verdana" w:hAnsi="Verdana" w:cs="Tahoma"/>
                <w:color w:val="000000"/>
                <w:sz w:val="16"/>
                <w:szCs w:val="16"/>
              </w:rPr>
              <w:t xml:space="preserve">5.1 Να διασφαλίζεται εκ των προτέρων ότι τα έργα του προγράμματος δεν θα ενέχουν κινδύνους για την </w:t>
            </w:r>
            <w:r w:rsidRPr="00686D1D">
              <w:rPr>
                <w:rFonts w:ascii="Verdana" w:hAnsi="Verdana" w:cs="Tahoma"/>
                <w:b/>
                <w:bCs/>
                <w:color w:val="000000"/>
                <w:sz w:val="16"/>
                <w:szCs w:val="16"/>
              </w:rPr>
              <w:t>υποβάθμιση θέσεων και ευρημάτων πολιτιστικού, ιστορικού και αρχαιολογικού ενδιαφέροντος.</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bookmarkEnd w:id="0"/>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restart"/>
            <w:shd w:val="clear" w:color="auto" w:fill="auto"/>
            <w:vAlign w:val="center"/>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xml:space="preserve">5.2 Ο σχεδιασμός των έργων θα πρέπει να επιδιώκει την ενσωμάτωση τρόπων </w:t>
            </w:r>
            <w:r w:rsidRPr="00686D1D">
              <w:rPr>
                <w:rFonts w:ascii="Verdana" w:hAnsi="Verdana" w:cs="Tahoma"/>
                <w:b/>
                <w:bCs/>
                <w:color w:val="000000"/>
                <w:sz w:val="16"/>
                <w:szCs w:val="16"/>
              </w:rPr>
              <w:t>προβολής και ανάδειξης των ιστορικών και πολιτιστικών στοιχείων</w:t>
            </w:r>
            <w:r w:rsidRPr="00686D1D">
              <w:rPr>
                <w:rFonts w:ascii="Verdana" w:hAnsi="Verdana" w:cs="Tahoma"/>
                <w:color w:val="000000"/>
                <w:sz w:val="16"/>
                <w:szCs w:val="16"/>
              </w:rPr>
              <w:t xml:space="preserve"> της περιοχής τους.</w:t>
            </w:r>
          </w:p>
        </w:tc>
        <w:tc>
          <w:tcPr>
            <w:tcW w:w="5796" w:type="dxa"/>
            <w:vMerge w:val="restart"/>
            <w:shd w:val="clear" w:color="auto" w:fill="auto"/>
            <w:vAlign w:val="center"/>
            <w:hideMark/>
          </w:tcPr>
          <w:p w:rsidR="008A29FA" w:rsidRPr="00686D1D" w:rsidRDefault="008A29FA" w:rsidP="00686D1D">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ΝΑΙ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restart"/>
            <w:shd w:val="clear" w:color="auto" w:fill="auto"/>
            <w:vAlign w:val="bottom"/>
            <w:hideMark/>
          </w:tcPr>
          <w:p w:rsidR="008A29FA" w:rsidRPr="00686D1D" w:rsidRDefault="008A29FA" w:rsidP="00686D1D">
            <w:pPr>
              <w:spacing w:after="0" w:line="240" w:lineRule="auto"/>
              <w:rPr>
                <w:rFonts w:ascii="Verdana" w:hAnsi="Verdana" w:cs="Tahoma"/>
                <w:color w:val="000000"/>
                <w:sz w:val="16"/>
                <w:szCs w:val="16"/>
              </w:rPr>
            </w:pPr>
            <w:r w:rsidRPr="00686D1D">
              <w:rPr>
                <w:rFonts w:ascii="Verdana" w:hAnsi="Verdana" w:cs="Tahoma"/>
                <w:color w:val="000000"/>
                <w:sz w:val="16"/>
                <w:szCs w:val="16"/>
              </w:rPr>
              <w:t> </w:t>
            </w: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ΌΧΙ</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r w:rsidR="008A29FA" w:rsidRPr="00686D1D" w:rsidTr="004245AF">
        <w:trPr>
          <w:trHeight w:val="799"/>
        </w:trPr>
        <w:tc>
          <w:tcPr>
            <w:tcW w:w="537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5796"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c>
          <w:tcPr>
            <w:tcW w:w="897" w:type="dxa"/>
            <w:shd w:val="clear" w:color="auto" w:fill="auto"/>
            <w:noWrap/>
            <w:vAlign w:val="center"/>
            <w:hideMark/>
          </w:tcPr>
          <w:p w:rsidR="008A29FA" w:rsidRPr="00686D1D" w:rsidRDefault="008A29FA" w:rsidP="004245AF">
            <w:pPr>
              <w:spacing w:after="0" w:line="240" w:lineRule="auto"/>
              <w:jc w:val="center"/>
              <w:rPr>
                <w:rFonts w:ascii="Verdana" w:hAnsi="Verdana" w:cs="Tahoma"/>
                <w:color w:val="000000"/>
                <w:sz w:val="16"/>
                <w:szCs w:val="16"/>
              </w:rPr>
            </w:pPr>
            <w:r w:rsidRPr="00686D1D">
              <w:rPr>
                <w:rFonts w:ascii="Verdana" w:hAnsi="Verdana" w:cs="Tahoma"/>
                <w:color w:val="000000"/>
                <w:sz w:val="16"/>
                <w:szCs w:val="16"/>
              </w:rPr>
              <w:t>ΔΕΝ ΑΦΟΡΑ</w:t>
            </w:r>
          </w:p>
        </w:tc>
        <w:tc>
          <w:tcPr>
            <w:tcW w:w="718" w:type="dxa"/>
            <w:gridSpan w:val="2"/>
            <w:shd w:val="clear" w:color="auto" w:fill="auto"/>
            <w:noWrap/>
            <w:vAlign w:val="center"/>
            <w:hideMark/>
          </w:tcPr>
          <w:p w:rsidR="008A29FA" w:rsidRPr="00686D1D" w:rsidRDefault="008A29FA" w:rsidP="004245AF">
            <w:pPr>
              <w:spacing w:after="0" w:line="240" w:lineRule="auto"/>
              <w:jc w:val="center"/>
              <w:rPr>
                <w:rFonts w:ascii="Verdana" w:hAnsi="Verdana" w:cs="Tahoma"/>
                <w:b/>
                <w:bCs/>
                <w:color w:val="000000"/>
                <w:sz w:val="16"/>
                <w:szCs w:val="16"/>
              </w:rPr>
            </w:pPr>
          </w:p>
        </w:tc>
        <w:tc>
          <w:tcPr>
            <w:tcW w:w="2401" w:type="dxa"/>
            <w:vMerge/>
            <w:vAlign w:val="center"/>
            <w:hideMark/>
          </w:tcPr>
          <w:p w:rsidR="008A29FA" w:rsidRPr="00686D1D" w:rsidRDefault="008A29FA" w:rsidP="00686D1D">
            <w:pPr>
              <w:spacing w:after="0" w:line="240" w:lineRule="auto"/>
              <w:rPr>
                <w:rFonts w:ascii="Verdana" w:hAnsi="Verdana" w:cs="Tahoma"/>
                <w:color w:val="000000"/>
                <w:sz w:val="16"/>
                <w:szCs w:val="16"/>
              </w:rPr>
            </w:pPr>
          </w:p>
        </w:tc>
      </w:tr>
    </w:tbl>
    <w:p w:rsidR="005C2E49" w:rsidRPr="00686D1D" w:rsidRDefault="005C2E49" w:rsidP="004245AF">
      <w:pPr>
        <w:spacing w:before="60" w:line="280" w:lineRule="atLeast"/>
        <w:rPr>
          <w:rFonts w:ascii="Verdana" w:hAnsi="Verdana" w:cs="Tahoma"/>
          <w:sz w:val="16"/>
          <w:szCs w:val="16"/>
        </w:rPr>
      </w:pPr>
    </w:p>
    <w:sectPr w:rsidR="005C2E49" w:rsidRPr="00686D1D" w:rsidSect="008A29FA">
      <w:footerReference w:type="default" r:id="rId8"/>
      <w:pgSz w:w="16838" w:h="11906" w:orient="landscape" w:code="9"/>
      <w:pgMar w:top="703" w:right="709" w:bottom="1276" w:left="1134" w:header="709"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21E" w:rsidRDefault="00CC021E">
      <w:r>
        <w:separator/>
      </w:r>
    </w:p>
  </w:endnote>
  <w:endnote w:type="continuationSeparator" w:id="0">
    <w:p w:rsidR="00CC021E" w:rsidRDefault="00CC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749"/>
      <w:gridCol w:w="2304"/>
      <w:gridCol w:w="2908"/>
      <w:gridCol w:w="2705"/>
    </w:tblGrid>
    <w:tr w:rsidR="00686D1D" w:rsidRPr="0084240F" w:rsidTr="00686D1D">
      <w:trPr>
        <w:trHeight w:val="709"/>
        <w:jc w:val="center"/>
      </w:trPr>
      <w:tc>
        <w:tcPr>
          <w:tcW w:w="1165" w:type="pct"/>
          <w:vAlign w:val="center"/>
        </w:tcPr>
        <w:p w:rsidR="00686D1D" w:rsidRPr="0084240F" w:rsidRDefault="00686D1D" w:rsidP="00686D1D">
          <w:pPr>
            <w:spacing w:after="0" w:line="240" w:lineRule="auto"/>
            <w:jc w:val="center"/>
            <w:rPr>
              <w:rFonts w:asciiTheme="minorHAnsi" w:hAnsiTheme="minorHAnsi"/>
            </w:rPr>
          </w:pPr>
          <w:r w:rsidRPr="0084240F">
            <w:rPr>
              <w:rFonts w:asciiTheme="minorHAnsi" w:hAnsiTheme="minorHAnsi"/>
              <w:noProof/>
            </w:rPr>
            <w:drawing>
              <wp:inline distT="0" distB="0" distL="0" distR="0" wp14:anchorId="76D21B52" wp14:editId="756F0F66">
                <wp:extent cx="1155396" cy="5400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1232" w:type="pct"/>
          <w:vAlign w:val="center"/>
        </w:tcPr>
        <w:p w:rsidR="00686D1D" w:rsidRPr="0084240F" w:rsidRDefault="00686D1D" w:rsidP="00686D1D">
          <w:pPr>
            <w:spacing w:after="0" w:line="240" w:lineRule="auto"/>
            <w:ind w:left="-110" w:firstLine="110"/>
            <w:jc w:val="center"/>
            <w:rPr>
              <w:rFonts w:asciiTheme="minorHAnsi" w:hAnsiTheme="minorHAnsi"/>
            </w:rPr>
          </w:pPr>
          <w:r w:rsidRPr="0084240F">
            <w:rPr>
              <w:rFonts w:asciiTheme="minorHAnsi" w:hAnsiTheme="minorHAnsi"/>
              <w:noProof/>
            </w:rPr>
            <w:drawing>
              <wp:inline distT="0" distB="0" distL="0" distR="0" wp14:anchorId="40AEAA93" wp14:editId="07D2A03F">
                <wp:extent cx="1155399" cy="5400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757" w:type="pct"/>
          <w:vAlign w:val="center"/>
        </w:tcPr>
        <w:p w:rsidR="00686D1D" w:rsidRPr="0084240F" w:rsidRDefault="00686D1D" w:rsidP="00686D1D">
          <w:pPr>
            <w:spacing w:after="0" w:line="240" w:lineRule="auto"/>
            <w:jc w:val="center"/>
            <w:rPr>
              <w:rFonts w:asciiTheme="minorHAnsi" w:hAnsiTheme="minorHAnsi"/>
            </w:rPr>
          </w:pPr>
          <w:r w:rsidRPr="0084240F">
            <w:rPr>
              <w:rFonts w:asciiTheme="minorHAnsi" w:hAnsiTheme="minorHAnsi"/>
              <w:noProof/>
            </w:rPr>
            <w:drawing>
              <wp:inline distT="0" distB="0" distL="0" distR="0" wp14:anchorId="365A585F" wp14:editId="42FCF2ED">
                <wp:extent cx="552893" cy="6120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956" w:type="pct"/>
          <w:vAlign w:val="center"/>
        </w:tcPr>
        <w:p w:rsidR="00686D1D" w:rsidRPr="0084240F" w:rsidRDefault="00686D1D" w:rsidP="00686D1D">
          <w:pPr>
            <w:spacing w:after="0" w:line="240" w:lineRule="auto"/>
            <w:jc w:val="center"/>
            <w:rPr>
              <w:rFonts w:asciiTheme="minorHAnsi" w:hAnsiTheme="minorHAnsi"/>
            </w:rPr>
          </w:pPr>
          <w:r w:rsidRPr="0084240F">
            <w:rPr>
              <w:rFonts w:asciiTheme="minorHAnsi" w:hAnsiTheme="minorHAnsi"/>
              <w:noProof/>
            </w:rPr>
            <w:drawing>
              <wp:inline distT="0" distB="0" distL="0" distR="0" wp14:anchorId="7D0053B2" wp14:editId="1097DF8F">
                <wp:extent cx="899209" cy="5400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889" w:type="pct"/>
          <w:vAlign w:val="center"/>
        </w:tcPr>
        <w:p w:rsidR="00686D1D" w:rsidRPr="00805995" w:rsidRDefault="00686D1D" w:rsidP="00686D1D">
          <w:pPr>
            <w:spacing w:after="0" w:line="240" w:lineRule="auto"/>
            <w:jc w:val="center"/>
            <w:rPr>
              <w:rFonts w:asciiTheme="minorHAnsi" w:hAnsiTheme="minorHAnsi"/>
            </w:rPr>
          </w:pPr>
          <w:r w:rsidRPr="0084240F">
            <w:rPr>
              <w:rFonts w:asciiTheme="minorHAnsi" w:hAnsiTheme="minorHAnsi"/>
              <w:noProof/>
            </w:rPr>
            <w:drawing>
              <wp:inline distT="0" distB="0" distL="0" distR="0" wp14:anchorId="2D682939" wp14:editId="100232FF">
                <wp:extent cx="538892" cy="540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r>
            <w:rPr>
              <w:rFonts w:asciiTheme="minorHAnsi" w:hAnsiTheme="minorHAnsi"/>
            </w:rPr>
            <w:t xml:space="preserve"> </w:t>
          </w:r>
        </w:p>
      </w:tc>
    </w:tr>
  </w:tbl>
  <w:p w:rsidR="00CC021E" w:rsidRPr="0043580B" w:rsidRDefault="00CC021E" w:rsidP="00B119F0">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21E" w:rsidRDefault="00CC021E">
      <w:r>
        <w:separator/>
      </w:r>
    </w:p>
  </w:footnote>
  <w:footnote w:type="continuationSeparator" w:id="0">
    <w:p w:rsidR="00CC021E" w:rsidRDefault="00CC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D77DC"/>
    <w:multiLevelType w:val="hybridMultilevel"/>
    <w:tmpl w:val="26807CF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14D61121"/>
    <w:multiLevelType w:val="multilevel"/>
    <w:tmpl w:val="26807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36437"/>
    <w:multiLevelType w:val="hybridMultilevel"/>
    <w:tmpl w:val="181AEF2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A3C55"/>
    <w:multiLevelType w:val="hybridMultilevel"/>
    <w:tmpl w:val="866C79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A31463"/>
    <w:multiLevelType w:val="hybridMultilevel"/>
    <w:tmpl w:val="A5B6DD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12326C"/>
    <w:multiLevelType w:val="hybridMultilevel"/>
    <w:tmpl w:val="6E5EA3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62D7594"/>
    <w:multiLevelType w:val="hybridMultilevel"/>
    <w:tmpl w:val="179882B8"/>
    <w:lvl w:ilvl="0" w:tplc="9CBEA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BB62AC"/>
    <w:multiLevelType w:val="hybridMultilevel"/>
    <w:tmpl w:val="760068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3C63FB"/>
    <w:multiLevelType w:val="hybridMultilevel"/>
    <w:tmpl w:val="9BF6CE48"/>
    <w:lvl w:ilvl="0" w:tplc="04080001">
      <w:start w:val="1"/>
      <w:numFmt w:val="bullet"/>
      <w:lvlText w:val=""/>
      <w:lvlJc w:val="left"/>
      <w:pPr>
        <w:tabs>
          <w:tab w:val="num" w:pos="1224"/>
        </w:tabs>
        <w:ind w:left="1224"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CB30C4"/>
    <w:multiLevelType w:val="hybridMultilevel"/>
    <w:tmpl w:val="0E8A2B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4A1A78"/>
    <w:multiLevelType w:val="hybridMultilevel"/>
    <w:tmpl w:val="E1FAC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1"/>
  </w:num>
  <w:num w:numId="5">
    <w:abstractNumId w:val="12"/>
  </w:num>
  <w:num w:numId="6">
    <w:abstractNumId w:val="14"/>
  </w:num>
  <w:num w:numId="7">
    <w:abstractNumId w:val="5"/>
  </w:num>
  <w:num w:numId="8">
    <w:abstractNumId w:val="0"/>
  </w:num>
  <w:num w:numId="9">
    <w:abstractNumId w:val="8"/>
  </w:num>
  <w:num w:numId="10">
    <w:abstractNumId w:val="9"/>
  </w:num>
  <w:num w:numId="11">
    <w:abstractNumId w:val="10"/>
  </w:num>
  <w:num w:numId="12">
    <w:abstractNumId w:val="13"/>
  </w:num>
  <w:num w:numId="13">
    <w:abstractNumId w:val="2"/>
  </w:num>
  <w:num w:numId="14">
    <w:abstractNumId w:val="17"/>
  </w:num>
  <w:num w:numId="15">
    <w:abstractNumId w:val="6"/>
  </w:num>
  <w:num w:numId="16">
    <w:abstractNumId w:val="1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F47"/>
    <w:rsid w:val="00014551"/>
    <w:rsid w:val="000177DD"/>
    <w:rsid w:val="00021728"/>
    <w:rsid w:val="00030952"/>
    <w:rsid w:val="00034549"/>
    <w:rsid w:val="000377D8"/>
    <w:rsid w:val="000407E9"/>
    <w:rsid w:val="0004793E"/>
    <w:rsid w:val="00047E40"/>
    <w:rsid w:val="00050563"/>
    <w:rsid w:val="00055D8C"/>
    <w:rsid w:val="00057885"/>
    <w:rsid w:val="00064B8D"/>
    <w:rsid w:val="00070683"/>
    <w:rsid w:val="00077F36"/>
    <w:rsid w:val="000806C9"/>
    <w:rsid w:val="0008604E"/>
    <w:rsid w:val="00095AA3"/>
    <w:rsid w:val="00096F12"/>
    <w:rsid w:val="000A08F3"/>
    <w:rsid w:val="000A149A"/>
    <w:rsid w:val="000A4CE3"/>
    <w:rsid w:val="000B0AF2"/>
    <w:rsid w:val="000C02D3"/>
    <w:rsid w:val="000C3A56"/>
    <w:rsid w:val="000E70E0"/>
    <w:rsid w:val="00104C32"/>
    <w:rsid w:val="00112826"/>
    <w:rsid w:val="00124E9A"/>
    <w:rsid w:val="001448D0"/>
    <w:rsid w:val="0015644B"/>
    <w:rsid w:val="001700BE"/>
    <w:rsid w:val="00177862"/>
    <w:rsid w:val="00177E24"/>
    <w:rsid w:val="0018317E"/>
    <w:rsid w:val="001842DE"/>
    <w:rsid w:val="00186CAD"/>
    <w:rsid w:val="00186E7F"/>
    <w:rsid w:val="00187301"/>
    <w:rsid w:val="001A1C3E"/>
    <w:rsid w:val="001A1D90"/>
    <w:rsid w:val="001B0292"/>
    <w:rsid w:val="001B342A"/>
    <w:rsid w:val="001B7138"/>
    <w:rsid w:val="001C73C4"/>
    <w:rsid w:val="001D3506"/>
    <w:rsid w:val="001D7E1A"/>
    <w:rsid w:val="001E027F"/>
    <w:rsid w:val="001F4CCD"/>
    <w:rsid w:val="001F653D"/>
    <w:rsid w:val="001F6706"/>
    <w:rsid w:val="001F72DC"/>
    <w:rsid w:val="0020501E"/>
    <w:rsid w:val="00210530"/>
    <w:rsid w:val="00222BC8"/>
    <w:rsid w:val="00223736"/>
    <w:rsid w:val="00224ED6"/>
    <w:rsid w:val="00230D4F"/>
    <w:rsid w:val="00236E67"/>
    <w:rsid w:val="00245342"/>
    <w:rsid w:val="00263859"/>
    <w:rsid w:val="002666B7"/>
    <w:rsid w:val="00272673"/>
    <w:rsid w:val="00274A07"/>
    <w:rsid w:val="002778AA"/>
    <w:rsid w:val="00281BD8"/>
    <w:rsid w:val="00283330"/>
    <w:rsid w:val="00284DFE"/>
    <w:rsid w:val="00291C15"/>
    <w:rsid w:val="0029469E"/>
    <w:rsid w:val="002956CC"/>
    <w:rsid w:val="0029589B"/>
    <w:rsid w:val="002976D4"/>
    <w:rsid w:val="002A42C3"/>
    <w:rsid w:val="002B03F7"/>
    <w:rsid w:val="002C0BC6"/>
    <w:rsid w:val="002C6028"/>
    <w:rsid w:val="002D5819"/>
    <w:rsid w:val="002D640D"/>
    <w:rsid w:val="002F7567"/>
    <w:rsid w:val="003051B3"/>
    <w:rsid w:val="00312862"/>
    <w:rsid w:val="003325D8"/>
    <w:rsid w:val="00334D6A"/>
    <w:rsid w:val="003375CD"/>
    <w:rsid w:val="00341626"/>
    <w:rsid w:val="00343CD7"/>
    <w:rsid w:val="00344403"/>
    <w:rsid w:val="00344AEE"/>
    <w:rsid w:val="00350AEF"/>
    <w:rsid w:val="00360827"/>
    <w:rsid w:val="00362E9A"/>
    <w:rsid w:val="00371930"/>
    <w:rsid w:val="00384C6D"/>
    <w:rsid w:val="00386F46"/>
    <w:rsid w:val="003920E5"/>
    <w:rsid w:val="0039553C"/>
    <w:rsid w:val="00395AAD"/>
    <w:rsid w:val="00396ABC"/>
    <w:rsid w:val="003A0ECB"/>
    <w:rsid w:val="003A4257"/>
    <w:rsid w:val="003A713E"/>
    <w:rsid w:val="003B2200"/>
    <w:rsid w:val="003C0F20"/>
    <w:rsid w:val="003D76B5"/>
    <w:rsid w:val="003E05D6"/>
    <w:rsid w:val="003F1AD7"/>
    <w:rsid w:val="003F4091"/>
    <w:rsid w:val="003F5441"/>
    <w:rsid w:val="003F7F47"/>
    <w:rsid w:val="00403750"/>
    <w:rsid w:val="00404AA2"/>
    <w:rsid w:val="00406FA2"/>
    <w:rsid w:val="00407FD7"/>
    <w:rsid w:val="00412367"/>
    <w:rsid w:val="004143DF"/>
    <w:rsid w:val="004245AF"/>
    <w:rsid w:val="00434B07"/>
    <w:rsid w:val="0043580B"/>
    <w:rsid w:val="0044114E"/>
    <w:rsid w:val="00447FC0"/>
    <w:rsid w:val="00455E4D"/>
    <w:rsid w:val="0045707B"/>
    <w:rsid w:val="00457684"/>
    <w:rsid w:val="004642F0"/>
    <w:rsid w:val="0046559D"/>
    <w:rsid w:val="00472CBD"/>
    <w:rsid w:val="00473D13"/>
    <w:rsid w:val="004823E1"/>
    <w:rsid w:val="004829A2"/>
    <w:rsid w:val="0048355F"/>
    <w:rsid w:val="00492EF1"/>
    <w:rsid w:val="00496096"/>
    <w:rsid w:val="004B265E"/>
    <w:rsid w:val="004C001D"/>
    <w:rsid w:val="004C684E"/>
    <w:rsid w:val="004C6C1B"/>
    <w:rsid w:val="004D23E5"/>
    <w:rsid w:val="004D31E3"/>
    <w:rsid w:val="004D36E5"/>
    <w:rsid w:val="004D4AC4"/>
    <w:rsid w:val="004D4E36"/>
    <w:rsid w:val="004D5515"/>
    <w:rsid w:val="004E09CC"/>
    <w:rsid w:val="004E1E6D"/>
    <w:rsid w:val="004E631F"/>
    <w:rsid w:val="004F5436"/>
    <w:rsid w:val="004F595B"/>
    <w:rsid w:val="004F5E87"/>
    <w:rsid w:val="00504A13"/>
    <w:rsid w:val="0051095A"/>
    <w:rsid w:val="005174D4"/>
    <w:rsid w:val="005220FF"/>
    <w:rsid w:val="00522B6D"/>
    <w:rsid w:val="005236F9"/>
    <w:rsid w:val="005357A5"/>
    <w:rsid w:val="0054014F"/>
    <w:rsid w:val="00542B69"/>
    <w:rsid w:val="00543F29"/>
    <w:rsid w:val="00547FE3"/>
    <w:rsid w:val="00550144"/>
    <w:rsid w:val="00560F2F"/>
    <w:rsid w:val="005632A0"/>
    <w:rsid w:val="005654D0"/>
    <w:rsid w:val="005672F6"/>
    <w:rsid w:val="005710AE"/>
    <w:rsid w:val="005742C7"/>
    <w:rsid w:val="00581F5A"/>
    <w:rsid w:val="00594A1E"/>
    <w:rsid w:val="005965CA"/>
    <w:rsid w:val="005A0B15"/>
    <w:rsid w:val="005A472D"/>
    <w:rsid w:val="005A546B"/>
    <w:rsid w:val="005A5630"/>
    <w:rsid w:val="005B0D4A"/>
    <w:rsid w:val="005B4364"/>
    <w:rsid w:val="005B5F21"/>
    <w:rsid w:val="005B7D66"/>
    <w:rsid w:val="005C2E49"/>
    <w:rsid w:val="005D4803"/>
    <w:rsid w:val="005D5CC5"/>
    <w:rsid w:val="005D5DB8"/>
    <w:rsid w:val="005E5107"/>
    <w:rsid w:val="005E6094"/>
    <w:rsid w:val="005E6EDC"/>
    <w:rsid w:val="005F1B73"/>
    <w:rsid w:val="005F332D"/>
    <w:rsid w:val="005F4694"/>
    <w:rsid w:val="005F46C2"/>
    <w:rsid w:val="00611A63"/>
    <w:rsid w:val="00611B74"/>
    <w:rsid w:val="00620679"/>
    <w:rsid w:val="006238CF"/>
    <w:rsid w:val="006269B7"/>
    <w:rsid w:val="00626BE4"/>
    <w:rsid w:val="006272B7"/>
    <w:rsid w:val="00632A1E"/>
    <w:rsid w:val="006360C4"/>
    <w:rsid w:val="00655E19"/>
    <w:rsid w:val="0066401E"/>
    <w:rsid w:val="00664414"/>
    <w:rsid w:val="00664E4E"/>
    <w:rsid w:val="006659C9"/>
    <w:rsid w:val="006660CF"/>
    <w:rsid w:val="006713AF"/>
    <w:rsid w:val="0067602E"/>
    <w:rsid w:val="00676A47"/>
    <w:rsid w:val="00677DCB"/>
    <w:rsid w:val="00684135"/>
    <w:rsid w:val="00684CC3"/>
    <w:rsid w:val="00686D1D"/>
    <w:rsid w:val="00687F23"/>
    <w:rsid w:val="0069126B"/>
    <w:rsid w:val="0069541B"/>
    <w:rsid w:val="006A18A0"/>
    <w:rsid w:val="006A50C9"/>
    <w:rsid w:val="006A5B6C"/>
    <w:rsid w:val="006B0BD2"/>
    <w:rsid w:val="006B3EFE"/>
    <w:rsid w:val="006B4D4B"/>
    <w:rsid w:val="006C17CF"/>
    <w:rsid w:val="006C3476"/>
    <w:rsid w:val="006D6DC0"/>
    <w:rsid w:val="006E15AF"/>
    <w:rsid w:val="006E26A2"/>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215ED"/>
    <w:rsid w:val="00722698"/>
    <w:rsid w:val="00723D76"/>
    <w:rsid w:val="00737BEB"/>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705B"/>
    <w:rsid w:val="0079759E"/>
    <w:rsid w:val="007A607C"/>
    <w:rsid w:val="007C214C"/>
    <w:rsid w:val="007C4F1E"/>
    <w:rsid w:val="007D21AB"/>
    <w:rsid w:val="007D23F1"/>
    <w:rsid w:val="007D405E"/>
    <w:rsid w:val="007E2E19"/>
    <w:rsid w:val="007E416A"/>
    <w:rsid w:val="007E444C"/>
    <w:rsid w:val="00810700"/>
    <w:rsid w:val="0081463E"/>
    <w:rsid w:val="00817BBC"/>
    <w:rsid w:val="008241D0"/>
    <w:rsid w:val="00832EDE"/>
    <w:rsid w:val="00834A1C"/>
    <w:rsid w:val="00836703"/>
    <w:rsid w:val="00836A6D"/>
    <w:rsid w:val="008378A6"/>
    <w:rsid w:val="0084512D"/>
    <w:rsid w:val="00854ED8"/>
    <w:rsid w:val="008567DC"/>
    <w:rsid w:val="00863CC4"/>
    <w:rsid w:val="00863DD6"/>
    <w:rsid w:val="00864F66"/>
    <w:rsid w:val="00865B78"/>
    <w:rsid w:val="0087308C"/>
    <w:rsid w:val="0088243E"/>
    <w:rsid w:val="008869EF"/>
    <w:rsid w:val="00886B71"/>
    <w:rsid w:val="00894AA7"/>
    <w:rsid w:val="00897163"/>
    <w:rsid w:val="00897B4D"/>
    <w:rsid w:val="008A29FA"/>
    <w:rsid w:val="008B2810"/>
    <w:rsid w:val="008B4FA6"/>
    <w:rsid w:val="008D4C43"/>
    <w:rsid w:val="008D4F39"/>
    <w:rsid w:val="008E0B76"/>
    <w:rsid w:val="008E79C1"/>
    <w:rsid w:val="008F3923"/>
    <w:rsid w:val="00907D2A"/>
    <w:rsid w:val="00910C49"/>
    <w:rsid w:val="00911243"/>
    <w:rsid w:val="00914D92"/>
    <w:rsid w:val="00921C4F"/>
    <w:rsid w:val="00923A50"/>
    <w:rsid w:val="0092595C"/>
    <w:rsid w:val="00932092"/>
    <w:rsid w:val="0093248F"/>
    <w:rsid w:val="0093378F"/>
    <w:rsid w:val="00943FF4"/>
    <w:rsid w:val="009447C5"/>
    <w:rsid w:val="00946BC4"/>
    <w:rsid w:val="00946DC4"/>
    <w:rsid w:val="0095374B"/>
    <w:rsid w:val="009744E4"/>
    <w:rsid w:val="00974D12"/>
    <w:rsid w:val="00975A8D"/>
    <w:rsid w:val="00977188"/>
    <w:rsid w:val="009772B4"/>
    <w:rsid w:val="00981224"/>
    <w:rsid w:val="0098703C"/>
    <w:rsid w:val="009A2942"/>
    <w:rsid w:val="009A2D4A"/>
    <w:rsid w:val="009A51B8"/>
    <w:rsid w:val="009B1DB2"/>
    <w:rsid w:val="009B5B0A"/>
    <w:rsid w:val="009B73A2"/>
    <w:rsid w:val="009C1E5E"/>
    <w:rsid w:val="009C4352"/>
    <w:rsid w:val="009E3309"/>
    <w:rsid w:val="009E3E79"/>
    <w:rsid w:val="009F7118"/>
    <w:rsid w:val="009F752B"/>
    <w:rsid w:val="00A059FF"/>
    <w:rsid w:val="00A06FB4"/>
    <w:rsid w:val="00A10322"/>
    <w:rsid w:val="00A10E4F"/>
    <w:rsid w:val="00A23F85"/>
    <w:rsid w:val="00A41052"/>
    <w:rsid w:val="00A43829"/>
    <w:rsid w:val="00A46453"/>
    <w:rsid w:val="00A50B9C"/>
    <w:rsid w:val="00A53DD7"/>
    <w:rsid w:val="00A60A4C"/>
    <w:rsid w:val="00A617D7"/>
    <w:rsid w:val="00A67D27"/>
    <w:rsid w:val="00A71915"/>
    <w:rsid w:val="00A72E54"/>
    <w:rsid w:val="00A8418A"/>
    <w:rsid w:val="00A94646"/>
    <w:rsid w:val="00A95296"/>
    <w:rsid w:val="00AA127E"/>
    <w:rsid w:val="00AB52AA"/>
    <w:rsid w:val="00AC12E6"/>
    <w:rsid w:val="00AC3145"/>
    <w:rsid w:val="00AC76D9"/>
    <w:rsid w:val="00AD24A4"/>
    <w:rsid w:val="00AD304B"/>
    <w:rsid w:val="00AD524B"/>
    <w:rsid w:val="00AD67B1"/>
    <w:rsid w:val="00AE04F2"/>
    <w:rsid w:val="00AE5522"/>
    <w:rsid w:val="00AE6A21"/>
    <w:rsid w:val="00AF5826"/>
    <w:rsid w:val="00B016EC"/>
    <w:rsid w:val="00B02D3E"/>
    <w:rsid w:val="00B1059B"/>
    <w:rsid w:val="00B1174F"/>
    <w:rsid w:val="00B119F0"/>
    <w:rsid w:val="00B22BB6"/>
    <w:rsid w:val="00B26D52"/>
    <w:rsid w:val="00B30A88"/>
    <w:rsid w:val="00B32DF8"/>
    <w:rsid w:val="00B33E1A"/>
    <w:rsid w:val="00B40EF5"/>
    <w:rsid w:val="00B4385E"/>
    <w:rsid w:val="00B43C8B"/>
    <w:rsid w:val="00B45805"/>
    <w:rsid w:val="00B56A84"/>
    <w:rsid w:val="00B579DF"/>
    <w:rsid w:val="00B63198"/>
    <w:rsid w:val="00B63DC0"/>
    <w:rsid w:val="00B6570C"/>
    <w:rsid w:val="00B65B1E"/>
    <w:rsid w:val="00B77BB6"/>
    <w:rsid w:val="00B8318A"/>
    <w:rsid w:val="00B838A3"/>
    <w:rsid w:val="00B91231"/>
    <w:rsid w:val="00B9750A"/>
    <w:rsid w:val="00BA1D5A"/>
    <w:rsid w:val="00BA3075"/>
    <w:rsid w:val="00BA34DF"/>
    <w:rsid w:val="00BB01DD"/>
    <w:rsid w:val="00BC2B74"/>
    <w:rsid w:val="00BC4BE0"/>
    <w:rsid w:val="00BD0134"/>
    <w:rsid w:val="00BD033E"/>
    <w:rsid w:val="00BD0589"/>
    <w:rsid w:val="00BE39BF"/>
    <w:rsid w:val="00BF3E91"/>
    <w:rsid w:val="00BF46C2"/>
    <w:rsid w:val="00C0436E"/>
    <w:rsid w:val="00C10BDC"/>
    <w:rsid w:val="00C13649"/>
    <w:rsid w:val="00C23E34"/>
    <w:rsid w:val="00C244DB"/>
    <w:rsid w:val="00C30F3F"/>
    <w:rsid w:val="00C32C51"/>
    <w:rsid w:val="00C36CA6"/>
    <w:rsid w:val="00C37630"/>
    <w:rsid w:val="00C4199E"/>
    <w:rsid w:val="00C440E3"/>
    <w:rsid w:val="00C453DA"/>
    <w:rsid w:val="00C464FA"/>
    <w:rsid w:val="00C536EA"/>
    <w:rsid w:val="00C56A45"/>
    <w:rsid w:val="00C64D1F"/>
    <w:rsid w:val="00C65E1B"/>
    <w:rsid w:val="00C67997"/>
    <w:rsid w:val="00C75280"/>
    <w:rsid w:val="00C763B6"/>
    <w:rsid w:val="00C820D4"/>
    <w:rsid w:val="00C82D14"/>
    <w:rsid w:val="00C82F49"/>
    <w:rsid w:val="00C860B9"/>
    <w:rsid w:val="00C90E89"/>
    <w:rsid w:val="00C95E5F"/>
    <w:rsid w:val="00C97D0F"/>
    <w:rsid w:val="00CA1D82"/>
    <w:rsid w:val="00CA1E35"/>
    <w:rsid w:val="00CA360C"/>
    <w:rsid w:val="00CA60C0"/>
    <w:rsid w:val="00CA6660"/>
    <w:rsid w:val="00CA6F73"/>
    <w:rsid w:val="00CA78B9"/>
    <w:rsid w:val="00CB0B8F"/>
    <w:rsid w:val="00CB12C2"/>
    <w:rsid w:val="00CB3E9E"/>
    <w:rsid w:val="00CB691F"/>
    <w:rsid w:val="00CC021E"/>
    <w:rsid w:val="00CC4AE0"/>
    <w:rsid w:val="00CC6A2B"/>
    <w:rsid w:val="00CC7D5B"/>
    <w:rsid w:val="00CD2D39"/>
    <w:rsid w:val="00CE1692"/>
    <w:rsid w:val="00CE1995"/>
    <w:rsid w:val="00CF0DC3"/>
    <w:rsid w:val="00D11AF4"/>
    <w:rsid w:val="00D14BF2"/>
    <w:rsid w:val="00D273ED"/>
    <w:rsid w:val="00D3218D"/>
    <w:rsid w:val="00D3765E"/>
    <w:rsid w:val="00D37DDC"/>
    <w:rsid w:val="00D41C65"/>
    <w:rsid w:val="00D43EB7"/>
    <w:rsid w:val="00D51E26"/>
    <w:rsid w:val="00D5514C"/>
    <w:rsid w:val="00D5614D"/>
    <w:rsid w:val="00D61164"/>
    <w:rsid w:val="00D615CF"/>
    <w:rsid w:val="00D62AA6"/>
    <w:rsid w:val="00D6790C"/>
    <w:rsid w:val="00D75500"/>
    <w:rsid w:val="00D81D48"/>
    <w:rsid w:val="00D83262"/>
    <w:rsid w:val="00D87CE4"/>
    <w:rsid w:val="00D87ED0"/>
    <w:rsid w:val="00D92D18"/>
    <w:rsid w:val="00DA1141"/>
    <w:rsid w:val="00DB75AB"/>
    <w:rsid w:val="00DC4731"/>
    <w:rsid w:val="00DC5571"/>
    <w:rsid w:val="00DD3525"/>
    <w:rsid w:val="00DD57A1"/>
    <w:rsid w:val="00DE527D"/>
    <w:rsid w:val="00DE615B"/>
    <w:rsid w:val="00DE764A"/>
    <w:rsid w:val="00DF3DEC"/>
    <w:rsid w:val="00DF7221"/>
    <w:rsid w:val="00E03F79"/>
    <w:rsid w:val="00E07AD7"/>
    <w:rsid w:val="00E20779"/>
    <w:rsid w:val="00E24659"/>
    <w:rsid w:val="00E311B9"/>
    <w:rsid w:val="00E31DAA"/>
    <w:rsid w:val="00E526CB"/>
    <w:rsid w:val="00E558F5"/>
    <w:rsid w:val="00E5611F"/>
    <w:rsid w:val="00E649B8"/>
    <w:rsid w:val="00E71AD7"/>
    <w:rsid w:val="00E72BE5"/>
    <w:rsid w:val="00E812BC"/>
    <w:rsid w:val="00E94CE1"/>
    <w:rsid w:val="00E955C3"/>
    <w:rsid w:val="00E955D3"/>
    <w:rsid w:val="00EB068E"/>
    <w:rsid w:val="00EB497E"/>
    <w:rsid w:val="00EB4DE7"/>
    <w:rsid w:val="00EB5031"/>
    <w:rsid w:val="00EC65C4"/>
    <w:rsid w:val="00ED06B0"/>
    <w:rsid w:val="00ED1213"/>
    <w:rsid w:val="00ED3FEF"/>
    <w:rsid w:val="00EE0E15"/>
    <w:rsid w:val="00EE1552"/>
    <w:rsid w:val="00F159AA"/>
    <w:rsid w:val="00F17E65"/>
    <w:rsid w:val="00F51D6D"/>
    <w:rsid w:val="00F617F4"/>
    <w:rsid w:val="00F63016"/>
    <w:rsid w:val="00F66B4F"/>
    <w:rsid w:val="00F66FAD"/>
    <w:rsid w:val="00F705AD"/>
    <w:rsid w:val="00F75F07"/>
    <w:rsid w:val="00F77830"/>
    <w:rsid w:val="00F778C9"/>
    <w:rsid w:val="00F914B6"/>
    <w:rsid w:val="00F94153"/>
    <w:rsid w:val="00F94E49"/>
    <w:rsid w:val="00F95269"/>
    <w:rsid w:val="00F96496"/>
    <w:rsid w:val="00FA02AE"/>
    <w:rsid w:val="00FA2083"/>
    <w:rsid w:val="00FA708E"/>
    <w:rsid w:val="00FB0E22"/>
    <w:rsid w:val="00FB4F21"/>
    <w:rsid w:val="00FB63E8"/>
    <w:rsid w:val="00FB7A0F"/>
    <w:rsid w:val="00FD145E"/>
    <w:rsid w:val="00FD7844"/>
    <w:rsid w:val="00FE129D"/>
    <w:rsid w:val="00FE246F"/>
    <w:rsid w:val="00FE7BD2"/>
    <w:rsid w:val="00FF4B6B"/>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6A5CC4"/>
  <w15:docId w15:val="{872F7A31-A1B4-477F-B161-F47BCEDF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1B73"/>
    <w:pPr>
      <w:spacing w:after="60" w:line="360" w:lineRule="auto"/>
      <w:jc w:val="both"/>
    </w:pPr>
    <w:rPr>
      <w:rFonts w:ascii="Arial" w:hAnsi="Arial"/>
      <w:sz w:val="22"/>
    </w:rPr>
  </w:style>
  <w:style w:type="paragraph" w:styleId="2">
    <w:name w:val="heading 2"/>
    <w:basedOn w:val="a"/>
    <w:next w:val="a"/>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3F7F47"/>
    <w:pPr>
      <w:keepNext/>
      <w:spacing w:before="120" w:after="12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4">
    <w:name w:val="footer"/>
    <w:aliases w:val="ft"/>
    <w:basedOn w:val="a"/>
    <w:rsid w:val="00914D92"/>
    <w:pPr>
      <w:tabs>
        <w:tab w:val="center" w:pos="4153"/>
        <w:tab w:val="right" w:pos="8306"/>
      </w:tabs>
    </w:p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923A50"/>
    <w:pPr>
      <w:spacing w:after="160" w:line="240" w:lineRule="exact"/>
      <w:jc w:val="left"/>
    </w:pPr>
    <w:rPr>
      <w:rFonts w:ascii="Tahoma" w:hAnsi="Tahoma"/>
      <w:sz w:val="20"/>
      <w:lang w:val="en-US" w:eastAsia="en-US"/>
    </w:rPr>
  </w:style>
  <w:style w:type="character" w:styleId="a6">
    <w:name w:val="page number"/>
    <w:basedOn w:val="a0"/>
    <w:rsid w:val="00914D92"/>
  </w:style>
  <w:style w:type="paragraph" w:styleId="a7">
    <w:name w:val="Balloon Text"/>
    <w:basedOn w:val="a"/>
    <w:semiHidden/>
    <w:rsid w:val="0098703C"/>
    <w:rPr>
      <w:rFonts w:ascii="Tahoma" w:hAnsi="Tahoma" w:cs="Tahoma"/>
      <w:sz w:val="16"/>
      <w:szCs w:val="16"/>
    </w:rPr>
  </w:style>
  <w:style w:type="paragraph" w:styleId="a8">
    <w:name w:val="Document Map"/>
    <w:basedOn w:val="a"/>
    <w:semiHidden/>
    <w:rsid w:val="00EB068E"/>
    <w:pPr>
      <w:shd w:val="clear" w:color="auto" w:fill="000080"/>
    </w:pPr>
    <w:rPr>
      <w:rFonts w:ascii="Tahoma" w:hAnsi="Tahoma" w:cs="Tahoma"/>
      <w:sz w:val="20"/>
    </w:rPr>
  </w:style>
  <w:style w:type="paragraph" w:styleId="a9">
    <w:name w:val="footnote text"/>
    <w:basedOn w:val="a"/>
    <w:semiHidden/>
    <w:rsid w:val="00BA34DF"/>
    <w:rPr>
      <w:sz w:val="20"/>
    </w:rPr>
  </w:style>
  <w:style w:type="character" w:styleId="aa">
    <w:name w:val="footnote reference"/>
    <w:semiHidden/>
    <w:rsid w:val="00BA34DF"/>
    <w:rPr>
      <w:vertAlign w:val="superscript"/>
    </w:rPr>
  </w:style>
  <w:style w:type="paragraph" w:customStyle="1" w:styleId="CharCharCharCharCharCharChar">
    <w:name w:val="Char Char Char Char Char Char Char"/>
    <w:basedOn w:val="a"/>
    <w:rsid w:val="005B4364"/>
    <w:pPr>
      <w:autoSpaceDE w:val="0"/>
      <w:autoSpaceDN w:val="0"/>
      <w:adjustRightInd w:val="0"/>
      <w:spacing w:after="160" w:line="240" w:lineRule="exact"/>
      <w:jc w:val="left"/>
    </w:pPr>
    <w:rPr>
      <w:rFonts w:ascii="Verdana" w:hAnsi="Verdana"/>
      <w:sz w:val="20"/>
      <w:lang w:val="en-US" w:eastAsia="en-US"/>
    </w:rPr>
  </w:style>
  <w:style w:type="character" w:styleId="ab">
    <w:name w:val="annotation reference"/>
    <w:rsid w:val="00C0436E"/>
    <w:rPr>
      <w:sz w:val="16"/>
      <w:szCs w:val="16"/>
    </w:rPr>
  </w:style>
  <w:style w:type="paragraph" w:styleId="ac">
    <w:name w:val="annotation text"/>
    <w:basedOn w:val="a"/>
    <w:link w:val="Char0"/>
    <w:rsid w:val="00C0436E"/>
    <w:rPr>
      <w:sz w:val="20"/>
    </w:rPr>
  </w:style>
  <w:style w:type="character" w:customStyle="1" w:styleId="Char0">
    <w:name w:val="Κείμενο σχολίου Char"/>
    <w:link w:val="ac"/>
    <w:rsid w:val="00C0436E"/>
    <w:rPr>
      <w:rFonts w:ascii="Arial" w:hAnsi="Arial"/>
    </w:rPr>
  </w:style>
  <w:style w:type="paragraph" w:styleId="ad">
    <w:name w:val="annotation subject"/>
    <w:basedOn w:val="ac"/>
    <w:next w:val="ac"/>
    <w:link w:val="Char1"/>
    <w:rsid w:val="00C0436E"/>
    <w:rPr>
      <w:b/>
      <w:bCs/>
    </w:rPr>
  </w:style>
  <w:style w:type="character" w:customStyle="1" w:styleId="Char1">
    <w:name w:val="Θέμα σχολίου Char"/>
    <w:link w:val="ad"/>
    <w:rsid w:val="00C0436E"/>
    <w:rPr>
      <w:rFonts w:ascii="Arial" w:hAnsi="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styleId="ae">
    <w:name w:val="List Paragraph"/>
    <w:basedOn w:val="a"/>
    <w:uiPriority w:val="99"/>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2">
    <w:name w:val="Char"/>
    <w:basedOn w:val="a"/>
    <w:rsid w:val="00F96496"/>
    <w:pPr>
      <w:spacing w:after="160" w:line="240" w:lineRule="exact"/>
      <w:jc w:val="left"/>
    </w:pPr>
    <w:rPr>
      <w:rFonts w:ascii="Tahoma" w:hAnsi="Tahoma"/>
      <w:sz w:val="20"/>
      <w:lang w:val="en-US" w:eastAsia="en-US"/>
    </w:rPr>
  </w:style>
  <w:style w:type="paragraph" w:styleId="af">
    <w:name w:val="Title"/>
    <w:basedOn w:val="a"/>
    <w:next w:val="a"/>
    <w:link w:val="Char3"/>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f"/>
    <w:rsid w:val="00384C6D"/>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rsid w:val="00C10BDC"/>
    <w:rPr>
      <w:rFonts w:asciiTheme="majorHAnsi" w:eastAsiaTheme="majorEastAsia" w:hAnsiTheme="majorHAnsi" w:cstheme="majorBidi"/>
      <w:b/>
      <w:bCs/>
      <w:color w:val="4F81BD" w:themeColor="accent1"/>
      <w:sz w:val="26"/>
      <w:szCs w:val="26"/>
    </w:rPr>
  </w:style>
  <w:style w:type="table" w:customStyle="1" w:styleId="20">
    <w:name w:val="Πλέγμα πίνακα2"/>
    <w:basedOn w:val="a1"/>
    <w:next w:val="a5"/>
    <w:uiPriority w:val="39"/>
    <w:rsid w:val="00686D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1B67-3C9E-4AEC-A292-FAC6C86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1327</Words>
  <Characters>7167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Μαριλού</cp:lastModifiedBy>
  <cp:revision>11</cp:revision>
  <cp:lastPrinted>2018-03-21T09:28:00Z</cp:lastPrinted>
  <dcterms:created xsi:type="dcterms:W3CDTF">2018-02-15T11:38:00Z</dcterms:created>
  <dcterms:modified xsi:type="dcterms:W3CDTF">2018-03-21T09:28:00Z</dcterms:modified>
</cp:coreProperties>
</file>