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B" w:rsidRPr="007F244F" w:rsidRDefault="00F84DEB" w:rsidP="00F84DEB">
      <w:pPr>
        <w:jc w:val="both"/>
        <w:rPr>
          <w:rFonts w:ascii="Verdana" w:hAnsi="Verdana"/>
          <w:b/>
          <w:bCs/>
          <w:sz w:val="20"/>
          <w:szCs w:val="20"/>
          <w:u w:val="single"/>
          <w:lang w:val="en-US"/>
        </w:rPr>
      </w:pPr>
      <w:r w:rsidRPr="001F2826">
        <w:rPr>
          <w:rFonts w:ascii="Verdana" w:hAnsi="Verdana"/>
          <w:b/>
          <w:bCs/>
          <w:sz w:val="20"/>
          <w:szCs w:val="20"/>
          <w:u w:val="single"/>
        </w:rPr>
        <w:t xml:space="preserve">Παράρτημα </w:t>
      </w:r>
      <w:r w:rsidR="007F244F">
        <w:rPr>
          <w:rFonts w:ascii="Verdana" w:hAnsi="Verdana"/>
          <w:b/>
          <w:bCs/>
          <w:sz w:val="20"/>
          <w:szCs w:val="20"/>
          <w:u w:val="single"/>
          <w:lang w:val="en-US"/>
        </w:rPr>
        <w:t>I</w:t>
      </w:r>
    </w:p>
    <w:p w:rsidR="00F84DEB" w:rsidRPr="005653C4" w:rsidRDefault="001F2826" w:rsidP="00F84DEB">
      <w:pPr>
        <w:pStyle w:val="a3"/>
        <w:numPr>
          <w:ilvl w:val="0"/>
          <w:numId w:val="3"/>
        </w:numPr>
        <w:ind w:left="284" w:hanging="284"/>
        <w:jc w:val="both"/>
        <w:rPr>
          <w:rFonts w:ascii="Verdana" w:hAnsi="Verdana"/>
          <w:b/>
          <w:bCs/>
          <w:sz w:val="20"/>
          <w:szCs w:val="20"/>
        </w:rPr>
      </w:pPr>
      <w:r w:rsidRPr="005653C4">
        <w:rPr>
          <w:rFonts w:ascii="Verdana" w:hAnsi="Verdana"/>
          <w:b/>
          <w:bCs/>
          <w:sz w:val="20"/>
          <w:szCs w:val="20"/>
        </w:rPr>
        <w:t xml:space="preserve">Προϋποθέσεις συμμετοχής για Νέους Επιστήμονες </w:t>
      </w:r>
    </w:p>
    <w:p w:rsidR="006D1AF3" w:rsidRPr="001F2826" w:rsidRDefault="006D1AF3" w:rsidP="001F2826">
      <w:pPr>
        <w:jc w:val="both"/>
        <w:rPr>
          <w:rFonts w:ascii="Verdana" w:hAnsi="Verdana"/>
          <w:bCs/>
          <w:sz w:val="20"/>
          <w:szCs w:val="20"/>
        </w:rPr>
      </w:pPr>
      <w:r w:rsidRPr="001F2826">
        <w:rPr>
          <w:rFonts w:ascii="Verdana" w:hAnsi="Verdana"/>
          <w:bCs/>
          <w:sz w:val="20"/>
          <w:szCs w:val="20"/>
        </w:rPr>
        <w:t>Νέοι επιστήμονες (ιατροί, οδοντίατροι, κτηνίατροι, φαρμακοποιοί, δικηγόροι, μηχανικοί που είναι απόφοιτοι Πανεπιστημιακών, Πολυτεχνικών Σχολών), εφόσον πληρούν τις παρακάτω προϋποθέσεις:</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Να έχουν κάνει έναρξη επιτηδεύματος (στην αρμόδια Δ.Ο.Υ.) υποχρεωτικά από την 02.01. 2011 και μετά.</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Δύνανται να ενταχθούν στο πρόγραμμα και όσοι έχουν προβεί σε έναρξη επιτηδεύματος από την 01/01/2010 και μετά, δηλώνοντας ως έδρα την οικία τους, με την προϋπόθεση ότι από την 02/01/2011 και μετά, έχουν προβεί σε πρώτη μεταβολή έδρας σε ανεξάρτητο επαγγελματικό χώρο. Ως ημερομηνία έναρξης θα θεωρείται η πρώτη μεταβολή.</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Να μην έχει παρέλθει χρονικό διάστημα μέχρι την ημερομηνία έναρξης δραστηριότητας τους, μεγαλύτερο των έξι (6) ετών από το χρόνο κτήσης του πτυχίου τους (για τις λοιπές κατηγορίες) ή της απόκτησης της ειδικότητας τους (για τους ιατρούς). Όταν στο χρονικό διάστημα των έξι (6) ετών περιλαμβάνεται χρόνος παρακολούθησης κύκλου μεταπτυχιακών σπουδών, ο χρόνος αυτός παρατείνει αντίστοιχα το όριο των έξι (6) ετών. Η ανωτέρω ρύθμιση δεν αφορά στους ιατρούς.</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Για τους πτυχιούχους αλλοδαπής το διάστημα των έξι (6) ετών υπολογίζεται από την αναγνώριση του πτυχίου τους από το ΔΟΑΤΑΠ.</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Για τα πτυχία που έχουν αποκτηθεί σε χώρα της Ευρωπαϊκής Ένωσης και δεν απαιτείται αναγνώριση από το ΔΟΑΤΑΠ το διάστημα των έξι (6) ετών, υπολογίζεται από την λήψη του πτυχίου.</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Να έχουν ηλικία μέχρι 34 ετών, (έως την ημερομηνία έναρξης της δραστηριότητας τους) πλην των ιατρών και των γυναικών νέων επιστημόνων, μητέρων ενός τουλάχιστον ανήλικου τέκνου και ανεξαρτήτως ειδικότητας που μπορούν να έχουν ηλικία μέχρι 42 ετών. Για όσους έχουν αποκτήσει μεταπτυχιακό τίτλο σπουδών, μέχρι τη συμπλήρωση του ορίου ηλικίας των 34 ετών, το όριο αυτό παρατείνεται αντίστοιχα κατά το χρονικό διάστημα που αφορά στις μεταπτυχιακές σπουδές. Κατά τον υπολογισμό της ηλικίας του ωφελούμενου θα λαμβάνεται υπόψη η τριακοστή πρώτη Δεκεμβρίου του έτους γεννήσεως του. Οι μεταπτυχιακές σπουδές εξωτερικού λαμβάνονται υπόψη εφόσον υπάρχει αναγνώριση τους από το  ΔΟΑΤΑΠ.</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Στο εκκαθαριστικό τους σημείωμα από την οικεία ΔΟΥ για το οικονομικό έτος της έναρξης δραστηριότητάς τους, το ατομικό εισόδημά τους να μην υπερβαίνει το ποσό των 12.000,00€. Ειδικά για τις κατηγορίες νέων επιστημόνων για τις οποίες απαιτείται πρακτική άσκηση για την απόκτηση ειδικότητας ή άδειας άσκησης επαγγέλματος (όπως ιατροί, δικηγόροι κ.α.), η αμοιβή τους κατά τη διάρκεια της πρακτικής άσκησης δεν υπολογίζεται ως εισόδημα προκειμένου να ενταχθούν στο πρόγραμμα.</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lastRenderedPageBreak/>
        <w:t>Να έχουν την Ελληνική υπηκοότητα ή την υπηκοότητα άλλου Κράτους – Μέλους της Ε.Ε. ή είναι ομογενείς ή υπήκοοι τρίτων χωρών που έχουν δικαίωμα διαμονής και απασχόλησης στη χώρα μας και είναι νόμιμοι κάτοικοι αυτής.</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 xml:space="preserve">Να διαθέτουν αριθμό φορολογικού μητρώου (Α.Φ.Μ.) και </w:t>
      </w:r>
    </w:p>
    <w:p w:rsidR="006D1AF3" w:rsidRPr="001F2826" w:rsidRDefault="006D1AF3" w:rsidP="001F2826">
      <w:pPr>
        <w:numPr>
          <w:ilvl w:val="0"/>
          <w:numId w:val="1"/>
        </w:numPr>
        <w:jc w:val="both"/>
        <w:rPr>
          <w:rFonts w:ascii="Verdana" w:hAnsi="Verdana"/>
          <w:bCs/>
          <w:sz w:val="20"/>
          <w:szCs w:val="20"/>
        </w:rPr>
      </w:pPr>
      <w:r w:rsidRPr="001F2826">
        <w:rPr>
          <w:rFonts w:ascii="Verdana" w:hAnsi="Verdana"/>
          <w:bCs/>
          <w:sz w:val="20"/>
          <w:szCs w:val="20"/>
        </w:rPr>
        <w:t>Να έχουν εκπληρώσει ή νόμιμα απαλλαχθεί από τις στρατιωτικές τους υποχρεώσεις (οι άνδρες υποψήφιοι).</w:t>
      </w:r>
    </w:p>
    <w:p w:rsidR="006D1AF3" w:rsidRPr="001F2826" w:rsidRDefault="006D1AF3" w:rsidP="001F2826">
      <w:pPr>
        <w:jc w:val="both"/>
        <w:rPr>
          <w:rFonts w:ascii="Verdana" w:hAnsi="Verdana"/>
          <w:bCs/>
          <w:sz w:val="20"/>
          <w:szCs w:val="20"/>
        </w:rPr>
      </w:pPr>
      <w:r w:rsidRPr="001F2826">
        <w:rPr>
          <w:rFonts w:ascii="Verdana" w:hAnsi="Verdana"/>
          <w:bCs/>
          <w:sz w:val="20"/>
          <w:szCs w:val="20"/>
        </w:rPr>
        <w:t xml:space="preserve">Στους ωφελούμενους δεν εντάσσονται όσοι έχουν ιδρύσει τις κάτωθι μορφές εταιρειών: </w:t>
      </w:r>
    </w:p>
    <w:p w:rsidR="006D1AF3" w:rsidRPr="001F2826" w:rsidRDefault="006D1AF3" w:rsidP="001F2826">
      <w:pPr>
        <w:numPr>
          <w:ilvl w:val="0"/>
          <w:numId w:val="2"/>
        </w:numPr>
        <w:jc w:val="both"/>
        <w:rPr>
          <w:rFonts w:ascii="Verdana" w:hAnsi="Verdana"/>
          <w:bCs/>
          <w:sz w:val="20"/>
          <w:szCs w:val="20"/>
        </w:rPr>
      </w:pPr>
      <w:r w:rsidRPr="001F2826">
        <w:rPr>
          <w:rFonts w:ascii="Verdana" w:hAnsi="Verdana"/>
          <w:bCs/>
          <w:sz w:val="20"/>
          <w:szCs w:val="20"/>
        </w:rPr>
        <w:t xml:space="preserve">Ανώνυμες Εταιρείες (Α.Ε.), </w:t>
      </w:r>
    </w:p>
    <w:p w:rsidR="006D1AF3" w:rsidRPr="001F2826" w:rsidRDefault="006D1AF3" w:rsidP="001F2826">
      <w:pPr>
        <w:numPr>
          <w:ilvl w:val="0"/>
          <w:numId w:val="2"/>
        </w:numPr>
        <w:jc w:val="both"/>
        <w:rPr>
          <w:rFonts w:ascii="Verdana" w:hAnsi="Verdana"/>
          <w:bCs/>
          <w:sz w:val="20"/>
          <w:szCs w:val="20"/>
        </w:rPr>
      </w:pPr>
      <w:r w:rsidRPr="001F2826">
        <w:rPr>
          <w:rFonts w:ascii="Verdana" w:hAnsi="Verdana"/>
          <w:bCs/>
          <w:sz w:val="20"/>
          <w:szCs w:val="20"/>
        </w:rPr>
        <w:t xml:space="preserve">Αστικές μη κερδοσκοπικές εταιρείες, </w:t>
      </w:r>
    </w:p>
    <w:p w:rsidR="006D1AF3" w:rsidRPr="001F2826" w:rsidRDefault="006D1AF3" w:rsidP="001F2826">
      <w:pPr>
        <w:numPr>
          <w:ilvl w:val="0"/>
          <w:numId w:val="2"/>
        </w:numPr>
        <w:jc w:val="both"/>
        <w:rPr>
          <w:rFonts w:ascii="Verdana" w:hAnsi="Verdana"/>
          <w:bCs/>
          <w:sz w:val="20"/>
          <w:szCs w:val="20"/>
        </w:rPr>
      </w:pPr>
      <w:r w:rsidRPr="001F2826">
        <w:rPr>
          <w:rFonts w:ascii="Verdana" w:hAnsi="Verdana"/>
          <w:bCs/>
          <w:sz w:val="20"/>
          <w:szCs w:val="20"/>
        </w:rPr>
        <w:t xml:space="preserve">όσοι είχαν άλλη επιχείρηση πριν από τη νέα έναρξη επιτηδεύματος στη Δ.Ο.Υ., εκτός της έναρξης δραστηριότητας ιατρού άνευ ειδικότητας, η οποία δεν υπερβαίνει, σε καμία περίπτωση, τους δώδεκα (12) μήνες. </w:t>
      </w:r>
    </w:p>
    <w:p w:rsidR="001F2826" w:rsidRPr="00B47745" w:rsidRDefault="001F2826" w:rsidP="006D1AF3">
      <w:pPr>
        <w:rPr>
          <w:bCs/>
        </w:rPr>
      </w:pPr>
    </w:p>
    <w:p w:rsidR="001F2826" w:rsidRPr="005653C4" w:rsidRDefault="001F2826" w:rsidP="00F84DEB">
      <w:pPr>
        <w:pStyle w:val="a3"/>
        <w:numPr>
          <w:ilvl w:val="0"/>
          <w:numId w:val="3"/>
        </w:numPr>
        <w:ind w:left="284" w:hanging="284"/>
        <w:jc w:val="both"/>
        <w:rPr>
          <w:rFonts w:ascii="Verdana" w:hAnsi="Verdana"/>
          <w:b/>
          <w:bCs/>
          <w:sz w:val="20"/>
          <w:szCs w:val="20"/>
        </w:rPr>
      </w:pPr>
      <w:r w:rsidRPr="005653C4">
        <w:rPr>
          <w:rFonts w:ascii="Verdana" w:hAnsi="Verdana"/>
          <w:b/>
          <w:bCs/>
          <w:sz w:val="20"/>
          <w:szCs w:val="20"/>
        </w:rPr>
        <w:t xml:space="preserve">Προϋποθέσεις συμμετοχής για Ασφαλισμένους στον ΟΓΑ </w:t>
      </w:r>
    </w:p>
    <w:p w:rsidR="006D1AF3" w:rsidRPr="001F2826" w:rsidRDefault="006D1AF3" w:rsidP="001F2826">
      <w:pPr>
        <w:jc w:val="both"/>
        <w:rPr>
          <w:rFonts w:ascii="Verdana" w:hAnsi="Verdana"/>
          <w:bCs/>
          <w:sz w:val="20"/>
          <w:szCs w:val="20"/>
        </w:rPr>
      </w:pPr>
      <w:r w:rsidRPr="001F2826">
        <w:rPr>
          <w:rFonts w:ascii="Verdana" w:hAnsi="Verdana"/>
          <w:bCs/>
          <w:sz w:val="20"/>
          <w:szCs w:val="20"/>
        </w:rPr>
        <w:t>Ασφαλισμένοι στον ΟΓΑ, με ατομικό εισόδημα από γεωργικές δραστηριότητες που δεν υπερβαίνει τις 3.0</w:t>
      </w:r>
      <w:r w:rsidR="005E179A">
        <w:rPr>
          <w:rFonts w:ascii="Verdana" w:hAnsi="Verdana"/>
          <w:bCs/>
          <w:sz w:val="20"/>
          <w:szCs w:val="20"/>
        </w:rPr>
        <w:t>00</w:t>
      </w:r>
      <w:r w:rsidR="005E179A" w:rsidRPr="005E179A">
        <w:rPr>
          <w:rFonts w:ascii="Verdana" w:hAnsi="Verdana"/>
          <w:bCs/>
          <w:sz w:val="20"/>
          <w:szCs w:val="20"/>
        </w:rPr>
        <w:t>,00</w:t>
      </w:r>
      <w:r w:rsidR="00F84DEB">
        <w:rPr>
          <w:rFonts w:ascii="Verdana" w:hAnsi="Verdana"/>
          <w:bCs/>
          <w:sz w:val="20"/>
          <w:szCs w:val="20"/>
        </w:rPr>
        <w:t>€ για το</w:t>
      </w:r>
      <w:r w:rsidR="005341D1" w:rsidRPr="005341D1">
        <w:rPr>
          <w:rFonts w:ascii="Verdana" w:hAnsi="Verdana"/>
          <w:bCs/>
          <w:sz w:val="20"/>
          <w:szCs w:val="20"/>
        </w:rPr>
        <w:t xml:space="preserve"> </w:t>
      </w:r>
      <w:r w:rsidR="005341D1">
        <w:rPr>
          <w:rFonts w:ascii="Verdana" w:hAnsi="Verdana"/>
          <w:bCs/>
          <w:sz w:val="20"/>
          <w:szCs w:val="20"/>
        </w:rPr>
        <w:t>τελευταίο οικονομικό έτος</w:t>
      </w:r>
      <w:bookmarkStart w:id="0" w:name="_GoBack"/>
      <w:bookmarkEnd w:id="0"/>
      <w:r w:rsidRPr="001F2826">
        <w:rPr>
          <w:rFonts w:ascii="Verdana" w:hAnsi="Verdana"/>
          <w:bCs/>
          <w:sz w:val="20"/>
          <w:szCs w:val="20"/>
        </w:rPr>
        <w:t>, το δε ατομικό πραγματικό, ή αντικειμενικό εισόδημά τους από τις λοιπές πηγές δεν υπερβαίνει το ποσό των 9.000,00€. Επισημαίνεται ότι δεν πρέπει να υπερβαίνουν ανά κατηγορία τα όρια του εισοδήματος.</w:t>
      </w:r>
    </w:p>
    <w:p w:rsidR="00793DAF" w:rsidRDefault="00793DAF"/>
    <w:sectPr w:rsidR="00793DAF" w:rsidSect="00B47745">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45" w:rsidRDefault="00B47745" w:rsidP="00B47745">
      <w:pPr>
        <w:spacing w:after="0" w:line="240" w:lineRule="auto"/>
      </w:pPr>
      <w:r>
        <w:separator/>
      </w:r>
    </w:p>
  </w:endnote>
  <w:endnote w:type="continuationSeparator" w:id="0">
    <w:p w:rsidR="00B47745" w:rsidRDefault="00B47745" w:rsidP="00B4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724"/>
      <w:gridCol w:w="3313"/>
      <w:gridCol w:w="1831"/>
      <w:gridCol w:w="1654"/>
    </w:tblGrid>
    <w:tr w:rsidR="00B47745" w:rsidRPr="00B47745" w:rsidTr="00B47745">
      <w:tc>
        <w:tcPr>
          <w:tcW w:w="1919" w:type="dxa"/>
          <w:shd w:val="clear" w:color="auto" w:fill="auto"/>
          <w:vAlign w:val="center"/>
        </w:tcPr>
        <w:p w:rsidR="00B47745" w:rsidRPr="00B47745" w:rsidRDefault="00B47745" w:rsidP="00B47745">
          <w:pPr>
            <w:tabs>
              <w:tab w:val="center" w:pos="4153"/>
              <w:tab w:val="right" w:pos="8306"/>
            </w:tabs>
            <w:spacing w:after="0" w:line="240" w:lineRule="auto"/>
            <w:ind w:right="360"/>
            <w:jc w:val="center"/>
            <w:rPr>
              <w:rFonts w:ascii="Verdana" w:eastAsia="Times New Roman" w:hAnsi="Verdana" w:cs="Times New Roman"/>
              <w:sz w:val="20"/>
              <w:szCs w:val="20"/>
              <w:lang w:eastAsia="el-GR"/>
            </w:rPr>
          </w:pPr>
          <w:r>
            <w:rPr>
              <w:rFonts w:ascii="Verdana" w:eastAsia="Times New Roman" w:hAnsi="Verdana" w:cs="Times New Roman"/>
              <w:b/>
              <w:noProof/>
              <w:sz w:val="20"/>
              <w:szCs w:val="20"/>
              <w:lang w:eastAsia="el-GR"/>
            </w:rPr>
            <w:drawing>
              <wp:inline distT="0" distB="0" distL="0" distR="0" wp14:anchorId="3FA1C16D" wp14:editId="3B863762">
                <wp:extent cx="850900" cy="79375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793750"/>
                        </a:xfrm>
                        <a:prstGeom prst="rect">
                          <a:avLst/>
                        </a:prstGeom>
                        <a:noFill/>
                        <a:ln>
                          <a:noFill/>
                        </a:ln>
                      </pic:spPr>
                    </pic:pic>
                  </a:graphicData>
                </a:graphic>
              </wp:inline>
            </w:drawing>
          </w:r>
        </w:p>
      </w:tc>
      <w:tc>
        <w:tcPr>
          <w:tcW w:w="3937" w:type="dxa"/>
          <w:shd w:val="clear" w:color="auto" w:fill="auto"/>
        </w:tcPr>
        <w:p w:rsidR="00B47745" w:rsidRPr="00B47745" w:rsidRDefault="00B47745" w:rsidP="00B47745">
          <w:pPr>
            <w:tabs>
              <w:tab w:val="center" w:pos="4153"/>
              <w:tab w:val="right" w:pos="8306"/>
            </w:tabs>
            <w:spacing w:after="0" w:line="240" w:lineRule="auto"/>
            <w:ind w:right="-60"/>
            <w:jc w:val="center"/>
            <w:rPr>
              <w:rFonts w:ascii="Verdana" w:eastAsia="Times New Roman" w:hAnsi="Verdana" w:cs="Times New Roman"/>
              <w:sz w:val="20"/>
              <w:szCs w:val="20"/>
              <w:lang w:eastAsia="el-GR"/>
            </w:rPr>
          </w:pPr>
          <w:r>
            <w:rPr>
              <w:rFonts w:ascii="Verdana" w:eastAsia="Times New Roman" w:hAnsi="Verdana" w:cs="Times New Roman"/>
              <w:noProof/>
              <w:color w:val="0000FF"/>
              <w:sz w:val="20"/>
              <w:szCs w:val="20"/>
              <w:lang w:eastAsia="el-GR"/>
            </w:rPr>
            <w:drawing>
              <wp:inline distT="0" distB="0" distL="0" distR="0" wp14:anchorId="27077AB4" wp14:editId="64FB0588">
                <wp:extent cx="2266950" cy="482600"/>
                <wp:effectExtent l="0" t="0" r="0" b="0"/>
                <wp:docPr id="2" name="Εικόνα 2" descr="http://www.alexandrinigi.gr/images/logo_epanad.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exandrinigi.gr/images/logo_epanad.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950" cy="482600"/>
                        </a:xfrm>
                        <a:prstGeom prst="rect">
                          <a:avLst/>
                        </a:prstGeom>
                        <a:noFill/>
                        <a:ln>
                          <a:noFill/>
                        </a:ln>
                      </pic:spPr>
                    </pic:pic>
                  </a:graphicData>
                </a:graphic>
              </wp:inline>
            </w:drawing>
          </w:r>
        </w:p>
        <w:p w:rsidR="00B47745" w:rsidRPr="00B47745" w:rsidRDefault="00B47745" w:rsidP="00B47745">
          <w:pPr>
            <w:tabs>
              <w:tab w:val="center" w:pos="4153"/>
              <w:tab w:val="right" w:pos="8306"/>
            </w:tabs>
            <w:spacing w:after="0" w:line="240" w:lineRule="auto"/>
            <w:ind w:right="-62"/>
            <w:jc w:val="center"/>
            <w:rPr>
              <w:rFonts w:ascii="Verdana" w:eastAsia="Times New Roman" w:hAnsi="Verdana" w:cs="Times New Roman"/>
              <w:sz w:val="10"/>
              <w:szCs w:val="10"/>
              <w:lang w:eastAsia="el-GR"/>
            </w:rPr>
          </w:pPr>
        </w:p>
        <w:p w:rsidR="00B47745" w:rsidRPr="00B47745" w:rsidRDefault="00B47745" w:rsidP="00B47745">
          <w:pPr>
            <w:tabs>
              <w:tab w:val="center" w:pos="4153"/>
              <w:tab w:val="right" w:pos="8306"/>
            </w:tabs>
            <w:spacing w:after="0" w:line="240" w:lineRule="auto"/>
            <w:ind w:right="-62"/>
            <w:jc w:val="center"/>
            <w:rPr>
              <w:rFonts w:ascii="Verdana" w:eastAsia="Times New Roman" w:hAnsi="Verdana" w:cs="Times New Roman"/>
              <w:sz w:val="10"/>
              <w:szCs w:val="10"/>
              <w:lang w:eastAsia="el-GR"/>
            </w:rPr>
          </w:pPr>
          <w:r w:rsidRPr="00B47745">
            <w:rPr>
              <w:rFonts w:ascii="Verdana" w:eastAsia="Times New Roman" w:hAnsi="Verdana" w:cs="Times New Roman"/>
              <w:sz w:val="10"/>
              <w:szCs w:val="10"/>
              <w:lang w:eastAsia="el-GR"/>
            </w:rPr>
            <w:t>Με τη συγχρηματοδότηση της Ελλάδας και της Ευρωπαϊκής Ένωσης</w:t>
          </w:r>
        </w:p>
      </w:tc>
      <w:tc>
        <w:tcPr>
          <w:tcW w:w="2042" w:type="dxa"/>
          <w:shd w:val="clear" w:color="auto" w:fill="auto"/>
          <w:vAlign w:val="center"/>
        </w:tcPr>
        <w:p w:rsidR="00B47745" w:rsidRPr="00B47745" w:rsidRDefault="005341D1" w:rsidP="00B47745">
          <w:pPr>
            <w:tabs>
              <w:tab w:val="center" w:pos="4153"/>
              <w:tab w:val="right" w:pos="8306"/>
            </w:tabs>
            <w:spacing w:after="0" w:line="240" w:lineRule="auto"/>
            <w:jc w:val="center"/>
            <w:rPr>
              <w:rFonts w:ascii="Verdana" w:eastAsia="Times New Roman" w:hAnsi="Verdana" w:cs="Times New Roman"/>
              <w:sz w:val="20"/>
              <w:szCs w:val="20"/>
              <w:lang w:eastAsia="el-GR"/>
            </w:rPr>
          </w:pPr>
          <w:r>
            <w:rPr>
              <w:rFonts w:ascii="Verdana" w:eastAsia="Times New Roman" w:hAnsi="Verdana" w:cs="Times New Roman"/>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1pt">
                <v:imagedata r:id="rId4" o:title=""/>
              </v:shape>
            </w:pict>
          </w:r>
        </w:p>
      </w:tc>
      <w:tc>
        <w:tcPr>
          <w:tcW w:w="1846" w:type="dxa"/>
          <w:shd w:val="clear" w:color="auto" w:fill="auto"/>
          <w:vAlign w:val="center"/>
        </w:tcPr>
        <w:p w:rsidR="00B47745" w:rsidRPr="00B47745" w:rsidRDefault="00B47745" w:rsidP="00B47745">
          <w:pPr>
            <w:tabs>
              <w:tab w:val="center" w:pos="4153"/>
              <w:tab w:val="right" w:pos="8306"/>
            </w:tabs>
            <w:spacing w:after="0" w:line="240" w:lineRule="auto"/>
            <w:jc w:val="center"/>
            <w:rPr>
              <w:rFonts w:ascii="Verdana" w:eastAsia="Times New Roman" w:hAnsi="Verdana" w:cs="Times New Roman"/>
              <w:sz w:val="20"/>
              <w:szCs w:val="20"/>
              <w:lang w:eastAsia="el-GR"/>
            </w:rPr>
          </w:pPr>
          <w:r>
            <w:rPr>
              <w:rFonts w:ascii="Verdana" w:eastAsia="Times New Roman" w:hAnsi="Verdana" w:cs="Times New Roman"/>
              <w:noProof/>
              <w:sz w:val="20"/>
              <w:szCs w:val="20"/>
              <w:lang w:eastAsia="el-GR"/>
            </w:rPr>
            <w:drawing>
              <wp:inline distT="0" distB="0" distL="0" distR="0" wp14:anchorId="0D1030D0" wp14:editId="412D5F73">
                <wp:extent cx="1035050" cy="666750"/>
                <wp:effectExtent l="0" t="0" r="0" b="0"/>
                <wp:docPr id="1" name="Εικόνα 1" descr="logo ESPA-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PA-EK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666750"/>
                        </a:xfrm>
                        <a:prstGeom prst="rect">
                          <a:avLst/>
                        </a:prstGeom>
                        <a:noFill/>
                        <a:ln>
                          <a:noFill/>
                        </a:ln>
                      </pic:spPr>
                    </pic:pic>
                  </a:graphicData>
                </a:graphic>
              </wp:inline>
            </w:drawing>
          </w:r>
        </w:p>
      </w:tc>
    </w:tr>
  </w:tbl>
  <w:p w:rsidR="00B47745" w:rsidRDefault="00B477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45" w:rsidRDefault="00B47745" w:rsidP="00B47745">
      <w:pPr>
        <w:spacing w:after="0" w:line="240" w:lineRule="auto"/>
      </w:pPr>
      <w:r>
        <w:separator/>
      </w:r>
    </w:p>
  </w:footnote>
  <w:footnote w:type="continuationSeparator" w:id="0">
    <w:p w:rsidR="00B47745" w:rsidRDefault="00B47745" w:rsidP="00B47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79F2"/>
    <w:multiLevelType w:val="hybridMultilevel"/>
    <w:tmpl w:val="3078D7C2"/>
    <w:lvl w:ilvl="0" w:tplc="AAB204B0">
      <w:start w:val="1"/>
      <w:numFmt w:val="upp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7B303F"/>
    <w:multiLevelType w:val="hybridMultilevel"/>
    <w:tmpl w:val="4C66332C"/>
    <w:lvl w:ilvl="0" w:tplc="F35E1BD0">
      <w:start w:val="1"/>
      <w:numFmt w:val="bullet"/>
      <w:lvlText w:val=""/>
      <w:lvlJc w:val="left"/>
      <w:pPr>
        <w:tabs>
          <w:tab w:val="num" w:pos="1247"/>
        </w:tabs>
        <w:ind w:left="887" w:hanging="357"/>
      </w:pPr>
      <w:rPr>
        <w:rFonts w:ascii="Wingdings" w:hAnsi="Wingdings" w:hint="default"/>
      </w:rPr>
    </w:lvl>
    <w:lvl w:ilvl="1" w:tplc="04080019">
      <w:start w:val="1"/>
      <w:numFmt w:val="lowerLetter"/>
      <w:lvlText w:val="%2."/>
      <w:lvlJc w:val="left"/>
      <w:pPr>
        <w:tabs>
          <w:tab w:val="num" w:pos="1610"/>
        </w:tabs>
        <w:ind w:left="1610" w:hanging="360"/>
      </w:pPr>
    </w:lvl>
    <w:lvl w:ilvl="2" w:tplc="0408001B">
      <w:start w:val="1"/>
      <w:numFmt w:val="lowerRoman"/>
      <w:lvlText w:val="%3."/>
      <w:lvlJc w:val="right"/>
      <w:pPr>
        <w:tabs>
          <w:tab w:val="num" w:pos="2330"/>
        </w:tabs>
        <w:ind w:left="2330" w:hanging="180"/>
      </w:pPr>
    </w:lvl>
    <w:lvl w:ilvl="3" w:tplc="0408000F">
      <w:start w:val="1"/>
      <w:numFmt w:val="decimal"/>
      <w:lvlText w:val="%4."/>
      <w:lvlJc w:val="left"/>
      <w:pPr>
        <w:tabs>
          <w:tab w:val="num" w:pos="3050"/>
        </w:tabs>
        <w:ind w:left="3050" w:hanging="360"/>
      </w:pPr>
    </w:lvl>
    <w:lvl w:ilvl="4" w:tplc="04080019">
      <w:start w:val="1"/>
      <w:numFmt w:val="lowerLetter"/>
      <w:lvlText w:val="%5."/>
      <w:lvlJc w:val="left"/>
      <w:pPr>
        <w:tabs>
          <w:tab w:val="num" w:pos="3770"/>
        </w:tabs>
        <w:ind w:left="3770" w:hanging="360"/>
      </w:pPr>
    </w:lvl>
    <w:lvl w:ilvl="5" w:tplc="0408001B">
      <w:start w:val="1"/>
      <w:numFmt w:val="lowerRoman"/>
      <w:lvlText w:val="%6."/>
      <w:lvlJc w:val="right"/>
      <w:pPr>
        <w:tabs>
          <w:tab w:val="num" w:pos="4490"/>
        </w:tabs>
        <w:ind w:left="4490" w:hanging="180"/>
      </w:pPr>
    </w:lvl>
    <w:lvl w:ilvl="6" w:tplc="0408000F">
      <w:start w:val="1"/>
      <w:numFmt w:val="decimal"/>
      <w:lvlText w:val="%7."/>
      <w:lvlJc w:val="left"/>
      <w:pPr>
        <w:tabs>
          <w:tab w:val="num" w:pos="5210"/>
        </w:tabs>
        <w:ind w:left="5210" w:hanging="360"/>
      </w:pPr>
    </w:lvl>
    <w:lvl w:ilvl="7" w:tplc="04080019">
      <w:start w:val="1"/>
      <w:numFmt w:val="lowerLetter"/>
      <w:lvlText w:val="%8."/>
      <w:lvlJc w:val="left"/>
      <w:pPr>
        <w:tabs>
          <w:tab w:val="num" w:pos="5930"/>
        </w:tabs>
        <w:ind w:left="5930" w:hanging="360"/>
      </w:pPr>
    </w:lvl>
    <w:lvl w:ilvl="8" w:tplc="0408001B">
      <w:start w:val="1"/>
      <w:numFmt w:val="lowerRoman"/>
      <w:lvlText w:val="%9."/>
      <w:lvlJc w:val="right"/>
      <w:pPr>
        <w:tabs>
          <w:tab w:val="num" w:pos="6650"/>
        </w:tabs>
        <w:ind w:left="6650" w:hanging="180"/>
      </w:pPr>
    </w:lvl>
  </w:abstractNum>
  <w:abstractNum w:abstractNumId="2">
    <w:nsid w:val="739311C5"/>
    <w:multiLevelType w:val="hybridMultilevel"/>
    <w:tmpl w:val="46D6CB1C"/>
    <w:lvl w:ilvl="0" w:tplc="37D2C540">
      <w:start w:val="1"/>
      <w:numFmt w:val="decimal"/>
      <w:lvlText w:val="%1."/>
      <w:lvlJc w:val="left"/>
      <w:pPr>
        <w:tabs>
          <w:tab w:val="num" w:pos="890"/>
        </w:tabs>
        <w:ind w:left="357" w:hanging="357"/>
      </w:pPr>
    </w:lvl>
    <w:lvl w:ilvl="1" w:tplc="04080019">
      <w:start w:val="1"/>
      <w:numFmt w:val="lowerLetter"/>
      <w:lvlText w:val="%2."/>
      <w:lvlJc w:val="left"/>
      <w:pPr>
        <w:tabs>
          <w:tab w:val="num" w:pos="1610"/>
        </w:tabs>
        <w:ind w:left="1610" w:hanging="360"/>
      </w:pPr>
    </w:lvl>
    <w:lvl w:ilvl="2" w:tplc="0408001B">
      <w:start w:val="1"/>
      <w:numFmt w:val="lowerRoman"/>
      <w:lvlText w:val="%3."/>
      <w:lvlJc w:val="right"/>
      <w:pPr>
        <w:tabs>
          <w:tab w:val="num" w:pos="2330"/>
        </w:tabs>
        <w:ind w:left="2330" w:hanging="180"/>
      </w:pPr>
    </w:lvl>
    <w:lvl w:ilvl="3" w:tplc="0408000F">
      <w:start w:val="1"/>
      <w:numFmt w:val="decimal"/>
      <w:lvlText w:val="%4."/>
      <w:lvlJc w:val="left"/>
      <w:pPr>
        <w:tabs>
          <w:tab w:val="num" w:pos="3050"/>
        </w:tabs>
        <w:ind w:left="3050" w:hanging="360"/>
      </w:pPr>
    </w:lvl>
    <w:lvl w:ilvl="4" w:tplc="04080019">
      <w:start w:val="1"/>
      <w:numFmt w:val="lowerLetter"/>
      <w:lvlText w:val="%5."/>
      <w:lvlJc w:val="left"/>
      <w:pPr>
        <w:tabs>
          <w:tab w:val="num" w:pos="3770"/>
        </w:tabs>
        <w:ind w:left="3770" w:hanging="360"/>
      </w:pPr>
    </w:lvl>
    <w:lvl w:ilvl="5" w:tplc="0408001B">
      <w:start w:val="1"/>
      <w:numFmt w:val="lowerRoman"/>
      <w:lvlText w:val="%6."/>
      <w:lvlJc w:val="right"/>
      <w:pPr>
        <w:tabs>
          <w:tab w:val="num" w:pos="4490"/>
        </w:tabs>
        <w:ind w:left="4490" w:hanging="180"/>
      </w:pPr>
    </w:lvl>
    <w:lvl w:ilvl="6" w:tplc="0408000F">
      <w:start w:val="1"/>
      <w:numFmt w:val="decimal"/>
      <w:lvlText w:val="%7."/>
      <w:lvlJc w:val="left"/>
      <w:pPr>
        <w:tabs>
          <w:tab w:val="num" w:pos="5210"/>
        </w:tabs>
        <w:ind w:left="5210" w:hanging="360"/>
      </w:pPr>
    </w:lvl>
    <w:lvl w:ilvl="7" w:tplc="04080019">
      <w:start w:val="1"/>
      <w:numFmt w:val="lowerLetter"/>
      <w:lvlText w:val="%8."/>
      <w:lvlJc w:val="left"/>
      <w:pPr>
        <w:tabs>
          <w:tab w:val="num" w:pos="5930"/>
        </w:tabs>
        <w:ind w:left="5930" w:hanging="360"/>
      </w:pPr>
    </w:lvl>
    <w:lvl w:ilvl="8" w:tplc="0408001B">
      <w:start w:val="1"/>
      <w:numFmt w:val="lowerRoman"/>
      <w:lvlText w:val="%9."/>
      <w:lvlJc w:val="right"/>
      <w:pPr>
        <w:tabs>
          <w:tab w:val="num" w:pos="6650"/>
        </w:tabs>
        <w:ind w:left="66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F3"/>
    <w:rsid w:val="0000755D"/>
    <w:rsid w:val="001F2826"/>
    <w:rsid w:val="005341D1"/>
    <w:rsid w:val="005653C4"/>
    <w:rsid w:val="005E179A"/>
    <w:rsid w:val="006D1AF3"/>
    <w:rsid w:val="00793DAF"/>
    <w:rsid w:val="007F244F"/>
    <w:rsid w:val="00B47745"/>
    <w:rsid w:val="00F84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EB"/>
    <w:pPr>
      <w:ind w:left="720"/>
      <w:contextualSpacing/>
    </w:pPr>
  </w:style>
  <w:style w:type="paragraph" w:styleId="a4">
    <w:name w:val="header"/>
    <w:basedOn w:val="a"/>
    <w:link w:val="Char"/>
    <w:uiPriority w:val="99"/>
    <w:unhideWhenUsed/>
    <w:rsid w:val="00B47745"/>
    <w:pPr>
      <w:tabs>
        <w:tab w:val="center" w:pos="4153"/>
        <w:tab w:val="right" w:pos="8306"/>
      </w:tabs>
      <w:spacing w:after="0" w:line="240" w:lineRule="auto"/>
    </w:pPr>
  </w:style>
  <w:style w:type="character" w:customStyle="1" w:styleId="Char">
    <w:name w:val="Κεφαλίδα Char"/>
    <w:basedOn w:val="a0"/>
    <w:link w:val="a4"/>
    <w:uiPriority w:val="99"/>
    <w:rsid w:val="00B47745"/>
  </w:style>
  <w:style w:type="paragraph" w:styleId="a5">
    <w:name w:val="footer"/>
    <w:basedOn w:val="a"/>
    <w:link w:val="Char0"/>
    <w:uiPriority w:val="99"/>
    <w:unhideWhenUsed/>
    <w:rsid w:val="00B47745"/>
    <w:pPr>
      <w:tabs>
        <w:tab w:val="center" w:pos="4153"/>
        <w:tab w:val="right" w:pos="8306"/>
      </w:tabs>
      <w:spacing w:after="0" w:line="240" w:lineRule="auto"/>
    </w:pPr>
  </w:style>
  <w:style w:type="character" w:customStyle="1" w:styleId="Char0">
    <w:name w:val="Υποσέλιδο Char"/>
    <w:basedOn w:val="a0"/>
    <w:link w:val="a5"/>
    <w:uiPriority w:val="99"/>
    <w:rsid w:val="00B47745"/>
  </w:style>
  <w:style w:type="paragraph" w:styleId="a6">
    <w:name w:val="Balloon Text"/>
    <w:basedOn w:val="a"/>
    <w:link w:val="Char1"/>
    <w:uiPriority w:val="99"/>
    <w:semiHidden/>
    <w:unhideWhenUsed/>
    <w:rsid w:val="00B4774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7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EB"/>
    <w:pPr>
      <w:ind w:left="720"/>
      <w:contextualSpacing/>
    </w:pPr>
  </w:style>
  <w:style w:type="paragraph" w:styleId="a4">
    <w:name w:val="header"/>
    <w:basedOn w:val="a"/>
    <w:link w:val="Char"/>
    <w:uiPriority w:val="99"/>
    <w:unhideWhenUsed/>
    <w:rsid w:val="00B47745"/>
    <w:pPr>
      <w:tabs>
        <w:tab w:val="center" w:pos="4153"/>
        <w:tab w:val="right" w:pos="8306"/>
      </w:tabs>
      <w:spacing w:after="0" w:line="240" w:lineRule="auto"/>
    </w:pPr>
  </w:style>
  <w:style w:type="character" w:customStyle="1" w:styleId="Char">
    <w:name w:val="Κεφαλίδα Char"/>
    <w:basedOn w:val="a0"/>
    <w:link w:val="a4"/>
    <w:uiPriority w:val="99"/>
    <w:rsid w:val="00B47745"/>
  </w:style>
  <w:style w:type="paragraph" w:styleId="a5">
    <w:name w:val="footer"/>
    <w:basedOn w:val="a"/>
    <w:link w:val="Char0"/>
    <w:uiPriority w:val="99"/>
    <w:unhideWhenUsed/>
    <w:rsid w:val="00B47745"/>
    <w:pPr>
      <w:tabs>
        <w:tab w:val="center" w:pos="4153"/>
        <w:tab w:val="right" w:pos="8306"/>
      </w:tabs>
      <w:spacing w:after="0" w:line="240" w:lineRule="auto"/>
    </w:pPr>
  </w:style>
  <w:style w:type="character" w:customStyle="1" w:styleId="Char0">
    <w:name w:val="Υποσέλιδο Char"/>
    <w:basedOn w:val="a0"/>
    <w:link w:val="a5"/>
    <w:uiPriority w:val="99"/>
    <w:rsid w:val="00B47745"/>
  </w:style>
  <w:style w:type="paragraph" w:styleId="a6">
    <w:name w:val="Balloon Text"/>
    <w:basedOn w:val="a"/>
    <w:link w:val="Char1"/>
    <w:uiPriority w:val="99"/>
    <w:semiHidden/>
    <w:unhideWhenUsed/>
    <w:rsid w:val="00B4774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7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414">
      <w:bodyDiv w:val="1"/>
      <w:marLeft w:val="0"/>
      <w:marRight w:val="0"/>
      <w:marTop w:val="0"/>
      <w:marBottom w:val="0"/>
      <w:divBdr>
        <w:top w:val="none" w:sz="0" w:space="0" w:color="auto"/>
        <w:left w:val="none" w:sz="0" w:space="0" w:color="auto"/>
        <w:bottom w:val="none" w:sz="0" w:space="0" w:color="auto"/>
        <w:right w:val="none" w:sz="0" w:space="0" w:color="auto"/>
      </w:divBdr>
    </w:div>
    <w:div w:id="1679312821">
      <w:bodyDiv w:val="1"/>
      <w:marLeft w:val="0"/>
      <w:marRight w:val="0"/>
      <w:marTop w:val="0"/>
      <w:marBottom w:val="0"/>
      <w:divBdr>
        <w:top w:val="none" w:sz="0" w:space="0" w:color="auto"/>
        <w:left w:val="none" w:sz="0" w:space="0" w:color="auto"/>
        <w:bottom w:val="none" w:sz="0" w:space="0" w:color="auto"/>
        <w:right w:val="none" w:sz="0" w:space="0" w:color="auto"/>
      </w:divBdr>
      <w:divsChild>
        <w:div w:id="744953228">
          <w:marLeft w:val="0"/>
          <w:marRight w:val="0"/>
          <w:marTop w:val="0"/>
          <w:marBottom w:val="0"/>
          <w:divBdr>
            <w:top w:val="none" w:sz="0" w:space="0" w:color="auto"/>
            <w:left w:val="none" w:sz="0" w:space="0" w:color="auto"/>
            <w:bottom w:val="none" w:sz="0" w:space="0" w:color="auto"/>
            <w:right w:val="none" w:sz="0" w:space="0" w:color="auto"/>
          </w:divBdr>
        </w:div>
        <w:div w:id="394007088">
          <w:marLeft w:val="0"/>
          <w:marRight w:val="0"/>
          <w:marTop w:val="0"/>
          <w:marBottom w:val="0"/>
          <w:divBdr>
            <w:top w:val="none" w:sz="0" w:space="0" w:color="auto"/>
            <w:left w:val="none" w:sz="0" w:space="0" w:color="auto"/>
            <w:bottom w:val="none" w:sz="0" w:space="0" w:color="auto"/>
            <w:right w:val="none" w:sz="0" w:space="0" w:color="auto"/>
          </w:divBdr>
        </w:div>
        <w:div w:id="1483962562">
          <w:marLeft w:val="0"/>
          <w:marRight w:val="0"/>
          <w:marTop w:val="0"/>
          <w:marBottom w:val="0"/>
          <w:divBdr>
            <w:top w:val="none" w:sz="0" w:space="0" w:color="auto"/>
            <w:left w:val="none" w:sz="0" w:space="0" w:color="auto"/>
            <w:bottom w:val="none" w:sz="0" w:space="0" w:color="auto"/>
            <w:right w:val="none" w:sz="0" w:space="0" w:color="auto"/>
          </w:divBdr>
        </w:div>
        <w:div w:id="1264075834">
          <w:marLeft w:val="0"/>
          <w:marRight w:val="0"/>
          <w:marTop w:val="0"/>
          <w:marBottom w:val="0"/>
          <w:divBdr>
            <w:top w:val="none" w:sz="0" w:space="0" w:color="auto"/>
            <w:left w:val="none" w:sz="0" w:space="0" w:color="auto"/>
            <w:bottom w:val="none" w:sz="0" w:space="0" w:color="auto"/>
            <w:right w:val="none" w:sz="0" w:space="0" w:color="auto"/>
          </w:divBdr>
        </w:div>
        <w:div w:id="1900170805">
          <w:marLeft w:val="0"/>
          <w:marRight w:val="0"/>
          <w:marTop w:val="0"/>
          <w:marBottom w:val="0"/>
          <w:divBdr>
            <w:top w:val="none" w:sz="0" w:space="0" w:color="auto"/>
            <w:left w:val="none" w:sz="0" w:space="0" w:color="auto"/>
            <w:bottom w:val="none" w:sz="0" w:space="0" w:color="auto"/>
            <w:right w:val="none" w:sz="0" w:space="0" w:color="auto"/>
          </w:divBdr>
        </w:div>
        <w:div w:id="1760255401">
          <w:marLeft w:val="0"/>
          <w:marRight w:val="0"/>
          <w:marTop w:val="0"/>
          <w:marBottom w:val="0"/>
          <w:divBdr>
            <w:top w:val="none" w:sz="0" w:space="0" w:color="auto"/>
            <w:left w:val="none" w:sz="0" w:space="0" w:color="auto"/>
            <w:bottom w:val="none" w:sz="0" w:space="0" w:color="auto"/>
            <w:right w:val="none" w:sz="0" w:space="0" w:color="auto"/>
          </w:divBdr>
        </w:div>
        <w:div w:id="1076707636">
          <w:marLeft w:val="0"/>
          <w:marRight w:val="0"/>
          <w:marTop w:val="0"/>
          <w:marBottom w:val="0"/>
          <w:divBdr>
            <w:top w:val="none" w:sz="0" w:space="0" w:color="auto"/>
            <w:left w:val="none" w:sz="0" w:space="0" w:color="auto"/>
            <w:bottom w:val="none" w:sz="0" w:space="0" w:color="auto"/>
            <w:right w:val="none" w:sz="0" w:space="0" w:color="auto"/>
          </w:divBdr>
        </w:div>
        <w:div w:id="2018190108">
          <w:marLeft w:val="0"/>
          <w:marRight w:val="0"/>
          <w:marTop w:val="0"/>
          <w:marBottom w:val="0"/>
          <w:divBdr>
            <w:top w:val="none" w:sz="0" w:space="0" w:color="auto"/>
            <w:left w:val="none" w:sz="0" w:space="0" w:color="auto"/>
            <w:bottom w:val="none" w:sz="0" w:space="0" w:color="auto"/>
            <w:right w:val="none" w:sz="0" w:space="0" w:color="auto"/>
          </w:divBdr>
        </w:div>
        <w:div w:id="198661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gr/url?sa=i&amp;rct=j&amp;q=&amp;esrc=s&amp;source=images&amp;cd=&amp;cad=rja&amp;uact=8&amp;docid=G653Tp_vnHdueM&amp;tbnid=x39cF3H9KvzBaM:&amp;ved=0CAUQjRw&amp;url=http://www.alexandrinigi.gr/thematic-tourism&amp;ei=cPV9U86kDsr80QX07YDgAw&amp;bvm=bv.67229260,d.d2k&amp;psig=AFQjCNEAS4qKHNZpBOHhV3sYIs2Fyc8Ptw&amp;ust=1400850115555590" TargetMode="External"/><Relationship Id="rId1" Type="http://schemas.openxmlformats.org/officeDocument/2006/relationships/image" Target="media/image1.emf"/><Relationship Id="rId5" Type="http://schemas.openxmlformats.org/officeDocument/2006/relationships/image" Target="media/image4.jpeg"/><Relationship Id="rId4"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D58F-CB04-44E4-A4E8-C9B35955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ws8</dc:creator>
  <cp:lastModifiedBy>ws8</cp:lastModifiedBy>
  <cp:revision>6</cp:revision>
  <cp:lastPrinted>2014-10-31T09:36:00Z</cp:lastPrinted>
  <dcterms:created xsi:type="dcterms:W3CDTF">2014-10-31T09:19:00Z</dcterms:created>
  <dcterms:modified xsi:type="dcterms:W3CDTF">2014-10-31T14:01:00Z</dcterms:modified>
</cp:coreProperties>
</file>